
<file path=[Content_Types].xml><?xml version="1.0" encoding="utf-8"?>
<Types xmlns="http://schemas.openxmlformats.org/package/2006/content-types">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B4D575" w14:textId="4769D100" w:rsidR="00E86923" w:rsidRDefault="00E86923" w:rsidP="00E86923">
      <w:pPr>
        <w:pStyle w:val="Articletitle"/>
      </w:pPr>
      <w:bookmarkStart w:id="0" w:name="_Hlk202277272"/>
      <w:r>
        <w:rPr>
          <w:lang w:val="en-US"/>
        </w:rPr>
        <w:t xml:space="preserve">Pricing for a low-carbon energy future: How China’s Carbon Emissions Trading System drives eco-efficient power generation in China’s coal-fired power industry. </w:t>
      </w:r>
    </w:p>
    <w:bookmarkEnd w:id="0"/>
    <w:p w14:paraId="7C219DEF" w14:textId="77777777" w:rsidR="00E86923" w:rsidRPr="00E86923" w:rsidRDefault="00E86923" w:rsidP="008061A3">
      <w:pPr>
        <w:pStyle w:val="Heading1"/>
        <w:rPr>
          <w:b/>
          <w:bCs/>
          <w:i w:val="0"/>
          <w:iCs w:val="0"/>
          <w:lang w:val="en-GB"/>
        </w:rPr>
      </w:pPr>
    </w:p>
    <w:p w14:paraId="541CD6FD" w14:textId="62FF6DBC" w:rsidR="008061A3" w:rsidRPr="008061A3" w:rsidRDefault="008061A3" w:rsidP="008061A3">
      <w:pPr>
        <w:pStyle w:val="Heading1"/>
        <w:rPr>
          <w:b/>
          <w:bCs/>
          <w:i w:val="0"/>
          <w:iCs w:val="0"/>
        </w:rPr>
      </w:pPr>
      <w:r w:rsidRPr="008061A3">
        <w:rPr>
          <w:b/>
          <w:bCs/>
          <w:i w:val="0"/>
          <w:iCs w:val="0"/>
        </w:rPr>
        <w:t>ABSTRACT</w:t>
      </w:r>
    </w:p>
    <w:p w14:paraId="45CB337D" w14:textId="77777777" w:rsidR="008061A3" w:rsidRDefault="008061A3" w:rsidP="00E12BAC">
      <w:pPr>
        <w:spacing w:line="240" w:lineRule="auto"/>
        <w:rPr>
          <w:b/>
        </w:rPr>
      </w:pPr>
    </w:p>
    <w:p w14:paraId="58822238" w14:textId="15C146E1" w:rsidR="00CA65CD" w:rsidRDefault="008061A3" w:rsidP="008061A3">
      <w:pPr>
        <w:spacing w:before="240"/>
        <w:jc w:val="both"/>
      </w:pPr>
      <w:r>
        <w:t xml:space="preserve">    Enhancing eco-efficient power generation is critical for sustainable energy transitions, especially in carbon-intensive coal-fired power sectors. This study leverages China’s Carbon Emissions Trading Scheme (CETS) pilot program as a natural experiment to evaluate its impact on total factor power generation efficiency (TFPGE) in coal-fired power plants. Using an industry-level dataset covering 30 Chinese provinces from 2008 to 2019, we measure TFPGE via a super-efficiency slacks-based measure (SBM) data envelopment analysis (DEA) model, incorporating undesirable outputs like CO2 emissions. </w:t>
      </w:r>
      <w:r w:rsidR="00C83AEE">
        <w:t xml:space="preserve">Traditional difference-in-differences and </w:t>
      </w:r>
      <w:r>
        <w:t>multi-period difference-in-differences (DID) approach</w:t>
      </w:r>
      <w:r w:rsidR="00C83AEE">
        <w:t>es</w:t>
      </w:r>
      <w:r>
        <w:t xml:space="preserve"> </w:t>
      </w:r>
      <w:r w:rsidR="00C83AEE">
        <w:t xml:space="preserve">are employed to </w:t>
      </w:r>
      <w:r>
        <w:t xml:space="preserve">assess the CETS’s effect on TFPGE in pilot versus non-pilot provinces. Findings reveal: (1) a national TFPGE average of 0.9838, with regional variations (East: 1.0003, West: 0.9835, Central: 0.9676); (2) CETS significantly increases TFPGE by 2.9% in pilot regions, robust across tests; (3) the policy’s impact is driven by enhanced resource commitment and clean combustion technologies, with stronger effects in western provinces (2.9% TFPGE increase) than central regions (1.7%), amplified by low thermal power dependency; (4) these results support Porter’s hypothesis, showing carbon pricing fosters </w:t>
      </w:r>
      <w:r w:rsidR="00FC6862">
        <w:t xml:space="preserve">environmental commitment, </w:t>
      </w:r>
      <w:r>
        <w:t>innovation and efficiency. By highlighting regional heterogeneity</w:t>
      </w:r>
      <w:r w:rsidR="00FC6862">
        <w:t>, environmental commitment and</w:t>
      </w:r>
      <w:r>
        <w:t xml:space="preserve"> technological mechanisms, this study addresses gaps in prior literature and offers policy insights for tailoring CETS to regional energy profiles and promoting clean technologies, advancing sustainable energy development in China and globally.</w:t>
      </w:r>
    </w:p>
    <w:p w14:paraId="64CA3D02" w14:textId="77777777" w:rsidR="00CA65CD" w:rsidRDefault="00CA65CD" w:rsidP="00E12BAC">
      <w:pPr>
        <w:spacing w:line="240" w:lineRule="auto"/>
      </w:pPr>
    </w:p>
    <w:p w14:paraId="1363A254" w14:textId="296397B4" w:rsidR="00DC1F61" w:rsidRDefault="00E86923" w:rsidP="00E86923">
      <w:pPr>
        <w:pStyle w:val="Keywords"/>
        <w:ind w:left="0"/>
        <w:rPr>
          <w:sz w:val="24"/>
        </w:rPr>
      </w:pPr>
      <w:r w:rsidRPr="00046F57">
        <w:rPr>
          <w:b/>
          <w:bCs/>
          <w:sz w:val="24"/>
        </w:rPr>
        <w:t>Keywords</w:t>
      </w:r>
      <w:r w:rsidRPr="00046F57">
        <w:rPr>
          <w:sz w:val="24"/>
        </w:rPr>
        <w:t>: Total factor Power generation efficiency; Carbon emission trading system, Coal-fired power; Environmental resource commitment; Clean combustion technology innovation; Energy structure upgrading</w:t>
      </w:r>
    </w:p>
    <w:p w14:paraId="7997DEF2" w14:textId="77777777" w:rsidR="00E86923" w:rsidRPr="00E86923" w:rsidRDefault="00E86923" w:rsidP="00E86923">
      <w:pPr>
        <w:pStyle w:val="Paragraph"/>
      </w:pPr>
    </w:p>
    <w:p w14:paraId="705727BC" w14:textId="4EBBFE81" w:rsidR="002358C6" w:rsidRPr="008061A3" w:rsidRDefault="008061A3" w:rsidP="008061A3">
      <w:pPr>
        <w:pStyle w:val="Heading1"/>
        <w:rPr>
          <w:b/>
          <w:bCs/>
          <w:i w:val="0"/>
          <w:iCs w:val="0"/>
        </w:rPr>
      </w:pPr>
      <w:r w:rsidRPr="008061A3">
        <w:rPr>
          <w:b/>
          <w:bCs/>
          <w:i w:val="0"/>
          <w:iCs w:val="0"/>
        </w:rPr>
        <w:t xml:space="preserve">1. </w:t>
      </w:r>
      <w:r w:rsidR="0023649F" w:rsidRPr="008061A3">
        <w:rPr>
          <w:b/>
          <w:bCs/>
          <w:i w:val="0"/>
          <w:iCs w:val="0"/>
        </w:rPr>
        <w:t>INTRODUCTIO</w:t>
      </w:r>
      <w:r w:rsidR="002358C6" w:rsidRPr="008061A3">
        <w:rPr>
          <w:b/>
          <w:bCs/>
          <w:i w:val="0"/>
          <w:iCs w:val="0"/>
        </w:rPr>
        <w:t>N</w:t>
      </w:r>
    </w:p>
    <w:p w14:paraId="3A1503D6" w14:textId="4E376BA8" w:rsidR="002358C6" w:rsidRDefault="002358C6" w:rsidP="00E12BAC">
      <w:pPr>
        <w:spacing w:line="240" w:lineRule="auto"/>
      </w:pPr>
    </w:p>
    <w:p w14:paraId="12839D96" w14:textId="177EB6D1" w:rsidR="008061A3" w:rsidRPr="00046F57" w:rsidRDefault="008061A3" w:rsidP="008061A3">
      <w:pPr>
        <w:pStyle w:val="Paragraph"/>
        <w:jc w:val="both"/>
      </w:pPr>
      <w:r w:rsidRPr="00046F57">
        <w:t xml:space="preserve">The power sector, vital for economic and social stability, is a major driver of global carbon emissions through fossil fuel-based generation, contributing to climate change, pollution, and ecosystem degradation </w:t>
      </w:r>
      <w:r w:rsidRPr="00046F57">
        <w:fldChar w:fldCharType="begin"/>
      </w:r>
      <w:r w:rsidRPr="00046F57">
        <w:instrText xml:space="preserve"> ADDIN ZOTERO_ITEM CSL_CITATION {"citationID":"BwIrctZh","properties":{"formattedCitation":"(Nakaishi et al., 2021; W. Wei et al., 2023)","plainCitation":"(Nakaishi et al., 2021; W. Wei et al., 2023)","noteIndex":0},"citationItems":[{"id":719,"uris":["http://zotero.org/users/local/wH06Ygim/items/FPNPGIHN"],"itemData":{"id":719,"type":"article-journal","container-title":"Energy Economics","DOI":"10.1016/j.eneco.2021.105511","ISSN":"01409883","journalAbbreviation":"Energy Economics","language":"en","page":"105511","source":"DOI.org (Crossref)","title":"Environmental efficiency analysis of China's coal-fired power plants considering heterogeneity in power generation company groups","volume":"102","author":[{"family":"Nakaishi","given":"Tomoaki"},{"family":"Takayabu","given":"Hirotaka"},{"family":"Eguchi","given":"Shogo"}],"issued":{"date-parts":[["2021",10]]}}},{"id":717,"uris":["http://zotero.org/users/local/wH06Ygim/items/PJ5MFV8X"],"itemData":{"id":717,"type":"article-journal","container-title":"Energy Economics","DOI":"10.1016/j.eneco.2023.107161","ISSN":"01409883","journalAbbreviation":"Energy Economics","language":"en","page":"107161","source":"DOI.org (Crossref)","title":"Empirical study on the technical efficiency and total factor productivity of power industry: Evidence from Chinese provinces","title-short":"Empirical study on the technical efficiency and total factor productivity of power industry","volume":"128","author":[{"family":"Wei","given":"Wei"},{"family":"Han","given":"Ying"},{"family":"Abedin","given":"Mohammad Zoynul"},{"family":"Ma","given":"Jingjing"},{"family":"Chai","given":"Shanglei"}],"issued":{"date-parts":[["2023",12]]}}}],"schema":"https://github.com/citation-style-language/schema/raw/master/csl-citation.json"} </w:instrText>
      </w:r>
      <w:r w:rsidRPr="00046F57">
        <w:fldChar w:fldCharType="separate"/>
      </w:r>
      <w:r w:rsidRPr="00046F57">
        <w:t>(Nakaishi et al., 2021; W. Wei et al., 2023)</w:t>
      </w:r>
      <w:r w:rsidRPr="00046F57">
        <w:fldChar w:fldCharType="end"/>
      </w:r>
      <w:r w:rsidRPr="00046F57">
        <w:t>. Global temperatures are projected to exceed the Paris Agreement’s 1.5°C target, with the International Energy Agency’s 2024 Electricity Outlook reporting a 1% rise in power sector CO2 emissions in 2024, following a 1.4% increase in 2023, driven by a 1.3% growth in fossil fuel generation amid a 4.3% surge in electricity demand, totalling 13,800 million tons of CO2.</w:t>
      </w:r>
      <w:r w:rsidRPr="00046F57">
        <w:rPr>
          <w:rStyle w:val="FootnoteReference"/>
          <w:shd w:val="clear" w:color="auto" w:fill="FFFFFF"/>
        </w:rPr>
        <w:t xml:space="preserve"> </w:t>
      </w:r>
      <w:r w:rsidRPr="00046F57">
        <w:rPr>
          <w:rStyle w:val="FootnoteReference"/>
          <w:shd w:val="clear" w:color="auto" w:fill="FFFFFF"/>
        </w:rPr>
        <w:footnoteReference w:id="1"/>
      </w:r>
      <w:r w:rsidRPr="00046F57">
        <w:t xml:space="preserve"> Coal-fired power, which accounted for 44% of global CO2 emissions from electricity and heat generation in 2022,</w:t>
      </w:r>
      <w:r w:rsidRPr="00046F57">
        <w:rPr>
          <w:rStyle w:val="FootnoteReference"/>
          <w:shd w:val="clear" w:color="auto" w:fill="FFFFFF"/>
        </w:rPr>
        <w:t xml:space="preserve"> </w:t>
      </w:r>
      <w:r w:rsidRPr="00046F57">
        <w:rPr>
          <w:rStyle w:val="FootnoteReference"/>
          <w:shd w:val="clear" w:color="auto" w:fill="FFFFFF"/>
        </w:rPr>
        <w:footnoteReference w:id="2"/>
      </w:r>
      <w:r w:rsidRPr="00046F57">
        <w:t xml:space="preserve">  also contributes significantly to air pollutants, producing 75% of SO2, 70% of NOx, and 90% of PM2.5 emissions in 2016  </w:t>
      </w:r>
      <w:r w:rsidRPr="00046F57">
        <w:rPr>
          <w:shd w:val="clear" w:color="auto" w:fill="FFFFFF"/>
        </w:rPr>
        <w:fldChar w:fldCharType="begin"/>
      </w:r>
      <w:r w:rsidRPr="00046F57">
        <w:rPr>
          <w:shd w:val="clear" w:color="auto" w:fill="FFFFFF"/>
        </w:rPr>
        <w:instrText xml:space="preserve"> ADDIN ZOTERO_ITEM CSL_CITATION {"citationID":"MHb8yfzQ","properties":{"formattedCitation":"(Nakaishi et al., 2023)","plainCitation":"(Nakaishi et al., 2023)","noteIndex":0},"citationItems":[{"id":792,"uris":["http://zotero.org/users/local/wH06Ygim/items/E9J36X8X"],"itemData":{"id":792,"type":"article-journal","container-title":"Energy Economics","DOI":"10.1016/j.eneco.2023.106672","ISSN":"01409883","journalAbbreviation":"Energy Economics","language":"en","page":"106672","source":"DOI.org (Crossref)","title":"Quantifying the health benefits of improving environmental efficiency: A case study from coal power plants in China","title-short":"Quantifying the health benefits of improving environmental efficiency","volume":"121","author":[{"family":"Nakaishi","given":"Tomoaki"},{"family":"Nagashima","given":"Fumiya"},{"family":"Kagawa","given":"Shigemi"},{"family":"Nansai","given":"Keisuke"},{"family":"Chatani","given":"Satoru"}],"issued":{"date-parts":[["2023",5]]}}}],"schema":"https://github.com/citation-style-language/schema/raw/master/csl-citation.json"} </w:instrText>
      </w:r>
      <w:r w:rsidRPr="00046F57">
        <w:rPr>
          <w:shd w:val="clear" w:color="auto" w:fill="FFFFFF"/>
        </w:rPr>
        <w:fldChar w:fldCharType="separate"/>
      </w:r>
      <w:r w:rsidRPr="00046F57">
        <w:t>(Nakaishi et al., 2023)</w:t>
      </w:r>
      <w:r w:rsidRPr="00046F57">
        <w:rPr>
          <w:shd w:val="clear" w:color="auto" w:fill="FFFFFF"/>
        </w:rPr>
        <w:fldChar w:fldCharType="end"/>
      </w:r>
      <w:r w:rsidRPr="00046F57">
        <w:rPr>
          <w:shd w:val="clear" w:color="auto" w:fill="FFFFFF"/>
        </w:rPr>
        <w:t xml:space="preserve">. </w:t>
      </w:r>
      <w:r w:rsidRPr="00046F57">
        <w:t xml:space="preserve">With emissions projected to grow by 62% from 2011 to 2050, led by China and India </w:t>
      </w:r>
      <w:r w:rsidRPr="00046F57">
        <w:fldChar w:fldCharType="begin"/>
      </w:r>
      <w:r w:rsidRPr="00046F57">
        <w:instrText xml:space="preserve"> ADDIN ZOTERO_ITEM CSL_CITATION {"citationID":"ae6sIfBu","properties":{"formattedCitation":"(Kabeyi &amp; Olanrewaju, 2022)","plainCitation":"(Kabeyi &amp; Olanrewaju, 2022)","noteIndex":0},"citationItems":[{"id":776,"uris":["http://zotero.org/users/local/wH06Ygim/items/P6CB7ZN3"],"itemData":{"id":776,"type":"article-journal","abstract":"The greatest sustainability challenge facing humanity today is the greenhouse gas emissions and the global climate change with fossil fuels led by coal, natural gas and oil contributing 61.3% of global electricity generation in the year 2020. The cumulative effect of the Stockholm, Rio, and Johannesburg conferences identified sustainable energy development (SED) as a very important factor in the sustainable global development. This study reviews energy transition strategies and proposes a roadmap for sustainable energy transition for sustainable electricity generation and supply in line with commitments of the Paris Agreement aimed at reducing greenhouse gas emissions and limiting the rise in global average temperature to 1.5°C above the preindustrial level. The sustainable transition strategies typically consist of three major technological changes namely, energy savings on the demand side, generation efficiency at production level and fossil fuel substitution by various renewable energy sources and low carbon nuclear. For the transition remain technically and economically feasible and beneficial, policy initiatives are necessary to steer the global electricity transition towards a sustainable energy and electricity system. Large-scale renewable energy adoption should include measures to improve efficiency of existing nonrenewable sources which still have an important cost reduction and stabilization role. A resilient grid with advanced energy storage for storage and absorption of variable renewables should also be part of the transition strategies. From this study, it was noted that whereas sustainable development has social, economic, and environmental pillars, energy sustainability is best analysed by five-dimensional approach consisting of environmental, economic, social, technical, and institutional/political sustainability to determine resource sustainability. The energy transition requires new technology for maximum use of the abundant but intermittent renewable sources a sustainable mix with limited nonrenewable sources optimized to minimize cost and environmental impact but maintained quality, stability, and flexibility of an electricity supply system. Technologies needed for the transition are those that use conventional mitigation, negative emissions technologies which capture and sequester carbon emissions and finally technologies which alter the global atmospheric radiative energy budget to stabilize and reduce global average temperature. A sustainable electricity system needs facilitating technology, policy, strategies and infrastructure like smart grids, and models with an appropriate mix of both renewable and low carbon energy sources.","container-title":"Frontiers in Energy Research","DOI":"10.3389/fenrg.2021.743114","ISSN":"2296-598X","journalAbbreviation":"Front. Energy Res.","page":"743114","source":"DOI.org (Crossref)","title":"Sustainable Energy Transition for Renewable and Low Carbon Grid Electricity Generation and Supply","volume":"9","author":[{"family":"Kabeyi","given":"Moses Jeremiah Barasa"},{"family":"Olanrewaju","given":"Oludolapo Akanni"}],"issued":{"date-parts":[["2022",3,24]]}}}],"schema":"https://github.com/citation-style-language/schema/raw/master/csl-citation.json"} </w:instrText>
      </w:r>
      <w:r w:rsidRPr="00046F57">
        <w:fldChar w:fldCharType="separate"/>
      </w:r>
      <w:r w:rsidRPr="00046F57">
        <w:t>(Kabeyi &amp; Olanrewaju, 2022)</w:t>
      </w:r>
      <w:r w:rsidRPr="00046F57">
        <w:fldChar w:fldCharType="end"/>
      </w:r>
      <w:r w:rsidRPr="00046F57">
        <w:t xml:space="preserve">, transitioning to cleaner energy is critical to meet </w:t>
      </w:r>
      <w:r w:rsidRPr="00046F57">
        <w:lastRenderedPageBreak/>
        <w:t xml:space="preserve">the Paris Agreement’s 1.5°C target. Improving Total Factor Power Generation Efficiency (TFPGE), which measures how efficiently power plants use resources while minimizing environmental impact, is a key strategy to reduce emissions while meeting rising energy demand. However, high costs and uncertain returns often hinder innovation (Sun et al., 2023a). Market-based policies, such as carbon emissions trading, can incentivize efficiency gains through innovation, as suggested by the Porter Hypothesis </w:t>
      </w:r>
      <w:r w:rsidRPr="00046F57">
        <w:fldChar w:fldCharType="begin"/>
      </w:r>
      <w:r w:rsidRPr="00046F57">
        <w:instrText xml:space="preserve"> ADDIN ZOTERO_ITEM CSL_CITATION {"citationID":"xyc1ZESD","properties":{"formattedCitation":"(Strielkowski et al., 2021; Y. Wei et al., 2024)","plainCitation":"(Strielkowski et al., 2021; Y. Wei et al., 2024)","noteIndex":0},"citationItems":[{"id":771,"uris":["http://zotero.org/users/local/wH06Ygim/items/DTJKUTAI"],"itemData":{"id":771,"type":"article-journal","abstract":"The electrical power sector plays an important role in the economic growth and development of every country around the world. Total global demand for electric energy is growing both in developed and developing economies. The commitment to the decarbonization of economies, which would mean replacing fossil fuels with renewable energy sources (RES) as well as the electrification of transport and heating as a means to tackle global warming and dangerous climate change, would lead to a surge in electricity consumption worldwide. Hence, it appears reasonable that the electric power sector should embed the principles of sustainable development into its functioning and operation. In addition, events such as the recent European gas crisis that have emerged as a result of the massive deployment of renewables need to be studied and prevented. This review aims at assessing the role of the renewable energy in the sustainable development of the electrical power sector, focusing on the energy providers and consumers represented both by businesses and households that are gradually becoming prosumers on the market of electric energy. Furthermore, it also focuses on the impact of renewables on the utility side and their benefits for the grid. In addition, it identifies the major factors of the sustainable development of the electrical power sector.","container-title":"Energies","DOI":"10.3390/en14248240","ISSN":"1996-1073","issue":"24","journalAbbreviation":"Energies","language":"en","license":"https://creativecommons.org/licenses/by/4.0/","page":"8240","source":"DOI.org (Crossref)","title":"Renewable Energy in the Sustainable Development of Electrical Power Sector: A Review","title-short":"Renewable Energy in the Sustainable Development of Electrical Power Sector","volume":"14","author":[{"family":"Strielkowski","given":"Wadim"},{"family":"Civín","given":"Lubomír"},{"family":"Tarkhanova","given":"Elena"},{"family":"Tvaronavičienė","given":"Manuela"},{"family":"Petrenko","given":"Yelena"}],"issued":{"date-parts":[["2021",12,7]]}}},{"id":720,"uris":["http://zotero.org/users/local/wH06Ygim/items/5ZLE4TM4"],"itemData":{"id":720,"type":"article-journal","container-title":"Journal of Cleaner Production","DOI":"10.1016/j.jclepro.2024.141227","ISSN":"09596526","journalAbbreviation":"Journal of Cleaner Production","language":"en","page":"141227","source":"DOI.org (Crossref)","title":"The effects of energy quota trading on total factor productivity and economic potential in industrial sector: Evidence from China","title-short":"The effects of energy quota trading on total factor productivity and economic potential in industrial sector","volume":"445","author":[{"family":"Wei","given":"Yuemin"},{"family":"Du","given":"Minzhe"},{"family":"Huang","given":"Zixian"}],"issued":{"date-parts":[["2024",3]]}}}],"schema":"https://github.com/citation-style-language/schema/raw/master/csl-citation.json"} </w:instrText>
      </w:r>
      <w:r w:rsidRPr="00046F57">
        <w:fldChar w:fldCharType="separate"/>
      </w:r>
      <w:r w:rsidRPr="00046F57">
        <w:t>(Strielkowski et al., 2021; Y. Wei et al., 2024)</w:t>
      </w:r>
      <w:r w:rsidRPr="00046F57">
        <w:fldChar w:fldCharType="end"/>
      </w:r>
      <w:r w:rsidRPr="00046F57">
        <w:t xml:space="preserve">, yet their impact in coal-intensive sectors remains underexplored, particularly across diverse regional contexts.            </w:t>
      </w:r>
    </w:p>
    <w:p w14:paraId="5E413E16" w14:textId="77777777" w:rsidR="008061A3" w:rsidRPr="00046F57" w:rsidRDefault="008061A3" w:rsidP="008061A3">
      <w:pPr>
        <w:pStyle w:val="Newparagraph"/>
        <w:jc w:val="both"/>
        <w:rPr>
          <w:shd w:val="clear" w:color="auto" w:fill="FFFFFF"/>
        </w:rPr>
      </w:pPr>
      <w:r w:rsidRPr="00046F57">
        <w:rPr>
          <w:shd w:val="clear" w:color="auto" w:fill="FFFFFF"/>
        </w:rPr>
        <w:t xml:space="preserve">    China, the world’s largest energy consumer and carbon emitter, faces severe environmental challenges driven by its coal-dominated power sector </w:t>
      </w:r>
      <w:r w:rsidRPr="00046F57">
        <w:rPr>
          <w:shd w:val="clear" w:color="auto" w:fill="FFFFFF"/>
        </w:rPr>
        <w:fldChar w:fldCharType="begin"/>
      </w:r>
      <w:r w:rsidRPr="00046F57">
        <w:rPr>
          <w:shd w:val="clear" w:color="auto" w:fill="FFFFFF"/>
        </w:rPr>
        <w:instrText xml:space="preserve"> ADDIN ZOTERO_ITEM CSL_CITATION {"citationID":"iX8WLbCM","properties":{"formattedCitation":"(L. Xie et al., 2022; G.-X. Zhang et al., 2023)","plainCitation":"(L. Xie et al., 2022; G.-X. Zhang et al., 2023)","noteIndex":0},"citationItems":[{"id":721,"uris":["http://zotero.org/users/local/wH06Ygim/items/AZ29JXDE"],"itemData":{"id":721,"type":"article-journal","container-title":"Technological Forecasting and Social Change","DOI":"10.1016/j.techfore.2021.121428","ISSN":"00401625","journalAbbreviation":"Technological Forecasting and Social Change","language":"en","page":"121428","source":"DOI.org (Crossref)","title":"Does environmental regulation improve the structure of power generation technology? Evidence from China's pilot policy on the carbon emissions trading market(CETM)","title-short":"Does environmental regulation improve the structure of power generation technology?","volume":"176","author":[{"family":"Xie","given":"Li"},{"family":"Zhou","given":"Zhichao"},{"family":"Hui","given":"Shimin"}],"issued":{"date-parts":[["2022",3]]}}},{"id":724,"uris":["http://zotero.org/users/local/wH06Ygim/items/ME4JQZAA"],"itemData":{"id":724,"type":"article-journal","container-title":"Energy Economics","DOI":"10.1016/j.eneco.2023.106597","ISSN":"01409883","journalAbbreviation":"Energy Economics","language":"en","page":"106597","source":"DOI.org (Crossref)","title":"Electricity production, power generation structure, and air pollution: A monthly data analysis for 279 cities in China (2015–2019)","title-short":"Electricity production, power generation structure, and air pollution","volume":"120","author":[{"family":"Zhang","given":"Guo-Xing"},{"family":"Yang","given":"Yang"},{"family":"Su","given":"Bin"},{"family":"Nie","given":"Yan"},{"family":"Duan","given":"Hong-Bo"}],"issued":{"date-parts":[["2023",4]]}}}],"schema":"https://github.com/citation-style-language/schema/raw/master/csl-citation.json"} </w:instrText>
      </w:r>
      <w:r w:rsidRPr="00046F57">
        <w:rPr>
          <w:shd w:val="clear" w:color="auto" w:fill="FFFFFF"/>
        </w:rPr>
        <w:fldChar w:fldCharType="separate"/>
      </w:r>
      <w:r w:rsidRPr="00046F57">
        <w:t>(L. Xie et al., 2022; G.-X. Zhang et al., 2023)</w:t>
      </w:r>
      <w:r w:rsidRPr="00046F57">
        <w:rPr>
          <w:shd w:val="clear" w:color="auto" w:fill="FFFFFF"/>
        </w:rPr>
        <w:fldChar w:fldCharType="end"/>
      </w:r>
      <w:r w:rsidRPr="00046F57">
        <w:rPr>
          <w:shd w:val="clear" w:color="auto" w:fill="FFFFFF"/>
        </w:rPr>
        <w:t xml:space="preserve">. </w:t>
      </w:r>
      <w:r w:rsidRPr="00046F57">
        <w:t>According to the International Energy Agency</w:t>
      </w:r>
      <w:r w:rsidRPr="00046F57">
        <w:rPr>
          <w:shd w:val="clear" w:color="auto" w:fill="FFFFFF"/>
        </w:rPr>
        <w:t>, in 2022, China’s CO2 emissions from fuel combustion reached 10,613 Mt, with coal accounting for 79% of this total</w:t>
      </w:r>
      <w:r w:rsidRPr="00046F57">
        <w:rPr>
          <w:rStyle w:val="FootnoteReference"/>
        </w:rPr>
        <w:footnoteReference w:id="3"/>
      </w:r>
      <w:r w:rsidRPr="00046F57">
        <w:rPr>
          <w:shd w:val="clear" w:color="auto" w:fill="FFFFFF"/>
        </w:rPr>
        <w:t xml:space="preserve">. Coal-fired power, supplying 67.1% of electricity in 2017 compared to a global average of 38.1%, is marked by low efficiency and high emissions, contributing to pollution and resource depletion </w:t>
      </w:r>
      <w:r w:rsidRPr="00046F57">
        <w:rPr>
          <w:shd w:val="clear" w:color="auto" w:fill="FFFFFF"/>
        </w:rPr>
        <w:fldChar w:fldCharType="begin"/>
      </w:r>
      <w:r w:rsidRPr="00046F57">
        <w:rPr>
          <w:shd w:val="clear" w:color="auto" w:fill="FFFFFF"/>
        </w:rPr>
        <w:instrText xml:space="preserve"> ADDIN ZOTERO_ITEM CSL_CITATION {"citationID":"refcRfpd","properties":{"formattedCitation":"(Fang et al., 2022; Thakare &amp; Daspute, 2024; X. Wang &amp; Li, 2021; Q. Wu et al., 2023)","plainCitation":"(Fang et al., 2022; Thakare &amp; Daspute, 2024; X. Wang &amp; Li, 2021; Q. Wu et al., 2023)","noteIndex":0},"citationItems":[{"id":722,"uris":["http://zotero.org/users/local/wH06Ygim/items/NK7LQCWR"],"itemData":{"id":722,"type":"article-journal","container-title":"Energy Policy","DOI":"10.1016/j.enpol.2022.112955","ISSN":"03014215","journalAbbreviation":"Energy Policy","language":"en","page":"112955","source":"DOI.org (Crossref)","title":"Carbon emission efficiency of thermal power generation in China: Empirical evidence from the micro-perspective of power plants","title-short":"Carbon emission efficiency of thermal power generation in China","volume":"165","author":[{"family":"Fang","given":"Tao"},{"family":"Fang","given":"Debin"},{"family":"Yu","given":"Bolin"}],"issued":{"date-parts":[["2022",6]]}}},{"id":780,"uris":["http://zotero.org/users/local/wH06Ygim/items/DIWU53SX"],"itemData":{"id":780,"type":"article-journal","container-title":"Energy","DOI":"10.1016/j.energy.2024.131661","ISSN":"03605442","journalAbbreviation":"Energy","language":"en","page":"131661","source":"DOI.org (Crossref)","title":"Enhancing energy conservation in power generation in a coal fired thermal power plant through comprehensive energy audit","volume":"301","author":[{"family":"Thakare","given":"Hitesh R."},{"family":"Daspute","given":"Pramod"}],"issued":{"date-parts":[["2024",8]]}}},{"id":731,"uris":["http://zotero.org/users/local/wH06Ygim/items/WUFZCLMB"],"itemData":{"id":731,"type":"article-journal","container-title":"Environmental Science and Pollution Research","DOI":"10.1007/s11356-020-11873-y","ISSN":"0944-1344, 1614-7499","issue":"17","journalAbbreviation":"Environ Sci Pollut Res","language":"en","page":"21706-21716","source":"DOI.org (Crossref)","title":"The threshold effect of cost-based environmental regulation on thermal power generation environmental governance efficiency","volume":"28","author":[{"family":"Wang","given":"Xiping"},{"family":"Li","given":"Moyang"}],"issued":{"date-parts":[["2021",5]]}}},{"id":383,"uris":["http://zotero.org/users/local/wH06Ygim/items/NXKM3GBH"],"itemData":{"id":383,"type":"article-journal","container-title":"Energy Policy","DOI":"10.1016/j.enpol.2023.113524","ISSN":"03014215","journalAbbreviation":"Energy Policy","language":"en","page":"113524","source":"DOI.org (Crossref)","title":"How carbon emission prices accelerate net zero: Evidence from China's coal-fired power plants","title-short":"How carbon emission prices accelerate net zero","volume":"177","author":[{"family":"Wu","given":"Qingyang"},{"family":"Tan","given":"Chang"},{"family":"Wang","given":"Daoping"},{"family":"Wu","given":"Yongtao"},{"family":"Meng","given":"Jing"},{"family":"Zheng","given":"Heran"}],"issued":{"date-parts":[["2023",6]]}}}],"schema":"https://github.com/citation-style-language/schema/raw/master/csl-citation.json"} </w:instrText>
      </w:r>
      <w:r w:rsidRPr="00046F57">
        <w:rPr>
          <w:shd w:val="clear" w:color="auto" w:fill="FFFFFF"/>
        </w:rPr>
        <w:fldChar w:fldCharType="separate"/>
      </w:r>
      <w:r w:rsidRPr="00046F57">
        <w:t>(Fang et al., 2022; Thakare &amp; Daspute, 2024; X. Wang &amp; Li, 2021; Q. Wu et al., 2023)</w:t>
      </w:r>
      <w:r w:rsidRPr="00046F57">
        <w:rPr>
          <w:shd w:val="clear" w:color="auto" w:fill="FFFFFF"/>
        </w:rPr>
        <w:fldChar w:fldCharType="end"/>
      </w:r>
      <w:r w:rsidRPr="00046F57">
        <w:rPr>
          <w:shd w:val="clear" w:color="auto" w:fill="FFFFFF"/>
        </w:rPr>
        <w:t xml:space="preserve">. While transitioning to renewables is essential to address global warming and energy challenges </w:t>
      </w:r>
      <w:r w:rsidRPr="00046F57">
        <w:rPr>
          <w:shd w:val="clear" w:color="auto" w:fill="FFFFFF"/>
        </w:rPr>
        <w:fldChar w:fldCharType="begin"/>
      </w:r>
      <w:r w:rsidRPr="00046F57">
        <w:rPr>
          <w:shd w:val="clear" w:color="auto" w:fill="FFFFFF"/>
        </w:rPr>
        <w:instrText xml:space="preserve"> ADDIN ZOTERO_ITEM CSL_CITATION {"citationID":"oIwo5gvm","properties":{"formattedCitation":"(Y. Liu &amp; Feng, 2023)","plainCitation":"(Y. Liu &amp; Feng, 2023)","noteIndex":0},"citationItems":[{"id":761,"uris":["http://zotero.org/users/local/wH06Ygim/items/8ZLYBFBH"],"itemData":{"id":761,"type":"article-journal","container-title":"Energy Economics","DOI":"10.1016/j.eneco.2023.106504","ISSN":"01409883","journalAbbreviation":"Energy Economics","language":"en","page":"106504","source":"DOI.org (Crossref)","title":"Promoting renewable energy through national energy legislation","volume":"118","author":[{"family":"Liu","given":"Ying"},{"family":"Feng","given":"Chao"}],"issued":{"date-parts":[["2023",2]]}}}],"schema":"https://github.com/citation-style-language/schema/raw/master/csl-citation.json"} </w:instrText>
      </w:r>
      <w:r w:rsidRPr="00046F57">
        <w:rPr>
          <w:shd w:val="clear" w:color="auto" w:fill="FFFFFF"/>
        </w:rPr>
        <w:fldChar w:fldCharType="separate"/>
      </w:r>
      <w:r w:rsidRPr="00046F57">
        <w:t>(Y. Liu &amp; Feng, 2023)</w:t>
      </w:r>
      <w:r w:rsidRPr="00046F57">
        <w:rPr>
          <w:shd w:val="clear" w:color="auto" w:fill="FFFFFF"/>
        </w:rPr>
        <w:fldChar w:fldCharType="end"/>
      </w:r>
      <w:r w:rsidRPr="00046F57">
        <w:rPr>
          <w:shd w:val="clear" w:color="auto" w:fill="FFFFFF"/>
        </w:rPr>
        <w:t xml:space="preserve">, current renewable capacity remains insufficient to meet demand </w:t>
      </w:r>
      <w:r w:rsidRPr="00046F57">
        <w:fldChar w:fldCharType="begin"/>
      </w:r>
      <w:r w:rsidRPr="00046F57">
        <w:instrText xml:space="preserve"> ADDIN ZOTERO_ITEM CSL_CITATION {"citationID":"RggKrqxR","properties":{"formattedCitation":"(Feng et al., 2022)","plainCitation":"(Feng et al., 2022)","noteIndex":0},"citationItems":[{"id":798,"uris":["http://zotero.org/users/local/wH06Ygim/items/AS4EC7IQ"],"itemData":{"id":798,"type":"article-journal","abstract":"Coal-based thermal power generation has long been the main source of power generation in the mainland of China. The efficiency of power generation is an important factor that determines the energy conservation and emission reduction as well as the sustainable development of the power industry in China. By comparing the regional differences of 30 provinces in the mainland from 2013 to 2017, this study uses the Super-DDF model and the TFEE to comprehensively evaluate the energy efficiency of thermal power generation. Empirical results: Overall efficiency: eastern efficiency (1.181) is the highest, followed by western (0.956), central (0.951) and northeastern (0.926). Total factor energy efficiency: eastern efficiency (0.923) is the highest, followed by western (0.754), central (0.742) and northeastern (0.710). The government and power industry managers should fully consider the regional differences in the field of thermal power generation when formulating policies so as to improve the power efficiency and promote the green development of power industry in China. Based on the analysis results, although the coal-fired power industry is more mature than other alternative energy industries, the expansion of thermal power generation cannot be considered if CO2 emissions are to be reduced. Additionally, the market share and competitiveness of the local power industry can be increased based on the different conditions of the resource endowments of each region.","container-title":"Sustainability","DOI":"10.3390/su14010504","ISSN":"2071-1050","issue":"1","journalAbbreviation":"Sustainability","language":"en","license":"https://creativecommons.org/licenses/by/4.0/","page":"504","source":"DOI.org (Crossref)","title":"Total Factor Energy Efficiency of China’s Thermal Power Industry","volume":"14","author":[{"family":"Feng","given":"Ying"},{"family":"Lu","given":"Ching-Cheng"},{"family":"Lin","given":"I-Fang"},{"family":"Yang","given":"An-Chi"},{"family":"Lin","given":"Po-Chun"}],"issued":{"date-parts":[["2022",1,4]]}}}],"schema":"https://github.com/citation-style-language/schema/raw/master/csl-citation.json"} </w:instrText>
      </w:r>
      <w:r w:rsidRPr="00046F57">
        <w:fldChar w:fldCharType="separate"/>
      </w:r>
      <w:r w:rsidRPr="00046F57">
        <w:t>(Feng et al., 2022)</w:t>
      </w:r>
      <w:r w:rsidRPr="00046F57">
        <w:fldChar w:fldCharType="end"/>
      </w:r>
      <w:r w:rsidRPr="00046F57">
        <w:rPr>
          <w:shd w:val="clear" w:color="auto" w:fill="FFFFFF"/>
        </w:rPr>
        <w:t xml:space="preserve">. Consequently, improving TFPGE is critical for reducing emissions, ensuring energy security, and achieving China’s carbon peak and neutrality goals </w:t>
      </w:r>
      <w:r w:rsidRPr="00046F57">
        <w:fldChar w:fldCharType="begin"/>
      </w:r>
      <w:r w:rsidRPr="00046F57">
        <w:instrText xml:space="preserve"> ADDIN ZOTERO_ITEM CSL_CITATION {"citationID":"8L87IAaN","properties":{"formattedCitation":"(Tang et al., 2023; Y. Wei et al., 2022)","plainCitation":"(Tang et al., 2023; Y. Wei et al., 2022)","noteIndex":0},"citationItems":[{"id":774,"uris":["http://zotero.org/users/local/wH06Ygim/items/3RW25MJD"],"itemData":{"id":774,"type":"article-journal","container-title":"Energy Policy","DOI":"10.1016/j.enpol.2022.113412","ISSN":"03014215","journalAbbreviation":"Energy Policy","language":"en","page":"113412","source":"DOI.org (Crossref)","title":"Ultra-low emission standards and corporate production performance: Evidence from Chinese thermal power companies","title-short":"Ultra-low emission standards and corporate production performance","volume":"173","author":[{"family":"Tang","given":"Chang"},{"family":"Qi","given":"Yu"},{"family":"Khan","given":"Naqib Ullah"},{"family":"Tang","given":"Ruwei"},{"family":"Xue","given":"Yan"}],"issued":{"date-parts":[["2023",2]]}}},{"id":725,"uris":["http://zotero.org/users/local/wH06Ygim/items/43UN7J92"],"itemData":{"id":725,"type":"article-journal","container-title":"Journal of Environmental Management","DOI":"10.1016/j.jenvman.2022.115874","ISSN":"03014797","journalAbbreviation":"Journal of Environmental Management","language":"en","page":"115874","source":"DOI.org (Crossref)","title":"Emission trading scheme, technological innovation, and competitiveness: Evidence from China's thermal power enterprises","title-short":"Emission trading scheme, technological innovation, and competitiveness","volume":"320","author":[{"family":"Wei","given":"Yigang"},{"family":"Zhu","given":"Rongqi"},{"family":"Tan","given":"Longyan"}],"issued":{"date-parts":[["2022",10]]}}}],"schema":"https://github.com/citation-style-language/schema/raw/master/csl-citation.json"} </w:instrText>
      </w:r>
      <w:r w:rsidRPr="00046F57">
        <w:fldChar w:fldCharType="separate"/>
      </w:r>
      <w:r w:rsidRPr="00046F57">
        <w:t>(Tang et al., 2023; Y. Wei et al., 2022)</w:t>
      </w:r>
      <w:r w:rsidRPr="00046F57">
        <w:fldChar w:fldCharType="end"/>
      </w:r>
      <w:r w:rsidRPr="00046F57">
        <w:rPr>
          <w:shd w:val="clear" w:color="auto" w:fill="FFFFFF"/>
        </w:rPr>
        <w:t xml:space="preserve">. Given </w:t>
      </w:r>
      <w:r w:rsidRPr="00046F57">
        <w:rPr>
          <w:shd w:val="clear" w:color="auto" w:fill="FFFFFF"/>
        </w:rPr>
        <w:lastRenderedPageBreak/>
        <w:t>diverse regional energy profiles, tailored policies like the Carbon Emissions Trading System (CETS) are essential to enhance TFPGE and support China’s carbon peak (2030) and neutrality (2060) goals</w:t>
      </w:r>
    </w:p>
    <w:p w14:paraId="07F7AD7C" w14:textId="47F2C698" w:rsidR="008061A3" w:rsidRPr="00046F57" w:rsidRDefault="008061A3" w:rsidP="008061A3">
      <w:pPr>
        <w:pStyle w:val="Newparagraph"/>
        <w:jc w:val="both"/>
      </w:pPr>
      <w:r w:rsidRPr="00046F57">
        <w:t xml:space="preserve">    Transitioning to clean energy is essential for China to meet its carbon peak by 2030 and neutrality by 2060, aligning with the Paris Agreement’s target of reducing per capita CO₂ emissions by 60–65% from 2005 levels by 2030, as outlined in the 13th Five-Year Plan </w:t>
      </w:r>
      <w:r w:rsidRPr="00046F57">
        <w:rPr>
          <w:shd w:val="clear" w:color="auto" w:fill="FFFFFF"/>
        </w:rPr>
        <w:fldChar w:fldCharType="begin"/>
      </w:r>
      <w:r w:rsidRPr="00046F57">
        <w:rPr>
          <w:shd w:val="clear" w:color="auto" w:fill="FFFFFF"/>
        </w:rPr>
        <w:instrText xml:space="preserve"> ADDIN ZOTERO_ITEM CSL_CITATION {"citationID":"czqk5njY","properties":{"formattedCitation":"(F. Dong et al., 2024)","plainCitation":"(F. Dong et al., 2024)","noteIndex":0},"citationItems":[{"id":766,"uris":["http://zotero.org/users/local/wH06Ygim/items/DVYU53AI"],"itemData":{"id":766,"type":"article-journal","container-title":"Journal of Cleaner Production","DOI":"10.1016/j.jclepro.2024.140818","ISSN":"09596526","journalAbbreviation":"Journal of Cleaner Production","language":"en","page":"140818","source":"DOI.org (Crossref)","title":"Measurement and decomposition of environmental efficiency in the power industry based on multi-hierarchy meta-frontier BAM model","volume":"441","author":[{"family":"Dong","given":"Feng"},{"family":"Chen","given":"Yuhuan"},{"family":"Sun","given":"Jiaojiao"},{"family":"Li","given":"Jingyun"},{"family":"Wang","given":"Lubing"},{"family":"Dong","given":"Tianqi"},{"family":"Cui","given":"Jue"}],"issued":{"date-parts":[["2024",2]]}}}],"schema":"https://github.com/citation-style-language/schema/raw/master/csl-citation.json"} </w:instrText>
      </w:r>
      <w:r w:rsidRPr="00046F57">
        <w:rPr>
          <w:shd w:val="clear" w:color="auto" w:fill="FFFFFF"/>
        </w:rPr>
        <w:fldChar w:fldCharType="separate"/>
      </w:r>
      <w:r w:rsidRPr="00046F57">
        <w:t>(F. Dong et al., 2024)</w:t>
      </w:r>
      <w:r w:rsidRPr="00046F57">
        <w:rPr>
          <w:shd w:val="clear" w:color="auto" w:fill="FFFFFF"/>
        </w:rPr>
        <w:fldChar w:fldCharType="end"/>
      </w:r>
      <w:r w:rsidRPr="00046F57">
        <w:t xml:space="preserve">. China is advancing green energy markets through robust policies </w:t>
      </w:r>
      <w:r w:rsidRPr="00046F57">
        <w:rPr>
          <w:shd w:val="clear" w:color="auto" w:fill="FFFFFF"/>
        </w:rPr>
        <w:fldChar w:fldCharType="begin"/>
      </w:r>
      <w:r w:rsidRPr="00046F57">
        <w:rPr>
          <w:shd w:val="clear" w:color="auto" w:fill="FFFFFF"/>
        </w:rPr>
        <w:instrText xml:space="preserve"> ADDIN ZOTERO_ITEM CSL_CITATION {"citationID":"yCwhVe8W","properties":{"formattedCitation":"(W. Wei et al., 2023)","plainCitation":"(W. Wei et al., 2023)","noteIndex":0},"citationItems":[{"id":717,"uris":["http://zotero.org/users/local/wH06Ygim/items/PJ5MFV8X"],"itemData":{"id":717,"type":"article-journal","container-title":"Energy Economics","DOI":"10.1016/j.eneco.2023.107161","ISSN":"01409883","journalAbbreviation":"Energy Economics","language":"en","page":"107161","source":"DOI.org (Crossref)","title":"Empirical study on the technical efficiency and total factor productivity of power industry: Evidence from Chinese provinces","title-short":"Empirical study on the technical efficiency and total factor productivity of power industry","volume":"128","author":[{"family":"Wei","given":"Wei"},{"family":"Han","given":"Ying"},{"family":"Abedin","given":"Mohammad Zoynul"},{"family":"Ma","given":"Jingjing"},{"family":"Chai","given":"Shanglei"}],"issued":{"date-parts":[["2023",12]]}}}],"schema":"https://github.com/citation-style-language/schema/raw/master/csl-citation.json"} </w:instrText>
      </w:r>
      <w:r w:rsidRPr="00046F57">
        <w:rPr>
          <w:shd w:val="clear" w:color="auto" w:fill="FFFFFF"/>
        </w:rPr>
        <w:fldChar w:fldCharType="separate"/>
      </w:r>
      <w:r w:rsidRPr="00046F57">
        <w:t>(W. Wei et al., 2023)</w:t>
      </w:r>
      <w:r w:rsidRPr="00046F57">
        <w:rPr>
          <w:shd w:val="clear" w:color="auto" w:fill="FFFFFF"/>
        </w:rPr>
        <w:fldChar w:fldCharType="end"/>
      </w:r>
      <w:r w:rsidRPr="00046F57">
        <w:t xml:space="preserve">, with the Carbon Emissions Trading System (CETS), launched in 2013, emerging as a cost-effective tool to enhance energy efficiency and innovation by making polluters pay for emissions </w:t>
      </w:r>
      <w:r w:rsidRPr="00046F57">
        <w:rPr>
          <w:shd w:val="clear" w:color="auto" w:fill="FFFFFF"/>
        </w:rPr>
        <w:fldChar w:fldCharType="begin"/>
      </w:r>
      <w:r w:rsidRPr="00046F57">
        <w:rPr>
          <w:shd w:val="clear" w:color="auto" w:fill="FFFFFF"/>
        </w:rPr>
        <w:instrText xml:space="preserve"> ADDIN ZOTERO_ITEM CSL_CITATION {"citationID":"byrJiRu5","properties":{"formattedCitation":"(M. Liu et al., 2022; Pu &amp; Ouyang, 2023; Q. Wu et al., 2023; N. Zhang &amp; Wang, 2024)","plainCitation":"(M. Liu et al., 2022; Pu &amp; Ouyang, 2023; Q. Wu et al., 2023; N. Zhang &amp; Wang, 2024)","noteIndex":0},"citationItems":[{"id":750,"uris":["http://zotero.org/users/local/wH06Ygim/items/G6W24GWF"],"itemData":{"id":750,"type":"article-journal","container-title":"Energy Policy","DOI":"10.1016/j.enpol.2022.113290","ISSN":"03014215","journalAbbreviation":"Energy Policy","language":"en","page":"113290","source":"DOI.org (Crossref)","title":"Study on the effect of carbon trading regulation on green innovation and heterogeneity analysis from China","volume":"171","author":[{"family":"Liu","given":"Ming"},{"family":"Shan","given":"Yanfei"},{"family":"Li","given":"Yemei"}],"issued":{"date-parts":[["2022",12]]}}},{"id":755,"uris":["http://zotero.org/users/local/wH06Ygim/items/U2M24MYA"],"itemData":{"id":755,"type":"article-journal","container-title":"Journal of Cleaner Production","DOI":"10.1016/j.jclepro.2023.138473","ISSN":"09596526","journalAbbreviation":"Journal of Cleaner Production","language":"en","page":"138473","source":"DOI.org (Crossref)","title":"Can carbon emission trading policy promote green innovation? The perspective of corporate operating difficulties","title-short":"Can carbon emission trading policy promote green innovation?","volume":"420","author":[{"family":"Pu","given":"Si"},{"family":"Ouyang","given":"You"}],"issued":{"date-parts":[["2023",9]]}}},{"id":383,"uris":["http://zotero.org/users/local/wH06Ygim/items/NXKM3GBH"],"itemData":{"id":383,"type":"article-journal","container-title":"Energy Policy","DOI":"10.1016/j.enpol.2023.113524","ISSN":"03014215","journalAbbreviation":"Energy Policy","language":"en","page":"113524","source":"DOI.org (Crossref)","title":"How carbon emission prices accelerate net zero: Evidence from China's coal-fired power plants","title-short":"How carbon emission prices accelerate net zero","volume":"177","author":[{"family":"Wu","given":"Qingyang"},{"family":"Tan","given":"Chang"},{"family":"Wang","given":"Daoping"},{"family":"Wu","given":"Yongtao"},{"family":"Meng","given":"Jing"},{"family":"Zheng","given":"Heran"}],"issued":{"date-parts":[["2023",6]]}}},{"id":428,"uris":["http://zotero.org/users/local/wH06Ygim/items/EHGQHKG8"],"itemData":{"id":428,"type":"article-journal","container-title":"Energy Economics","DOI":"10.1016/j.eneco.2023.107262","ISSN":"01409883","journalAbbreviation":"Energy Economics","language":"en","page":"107262","source":"DOI.org (Crossref)","title":"Can China's regional carbon market pilots improve power plants' energy efficiency?","volume":"129","author":[{"family":"Zhang","given":"Ning"},{"family":"Wang","given":"Shuo"}],"issued":{"date-parts":[["2024",1]]}}}],"schema":"https://github.com/citation-style-language/schema/raw/master/csl-citation.json"} </w:instrText>
      </w:r>
      <w:r w:rsidRPr="00046F57">
        <w:rPr>
          <w:shd w:val="clear" w:color="auto" w:fill="FFFFFF"/>
        </w:rPr>
        <w:fldChar w:fldCharType="separate"/>
      </w:r>
      <w:r w:rsidRPr="00046F57">
        <w:t>(M. Liu et al., 2022; Pu &amp; Ouyang, 2023; Q. Wu et al., 2023; N. Zhang &amp; Wang, 2024)</w:t>
      </w:r>
      <w:r w:rsidRPr="00046F57">
        <w:rPr>
          <w:shd w:val="clear" w:color="auto" w:fill="FFFFFF"/>
        </w:rPr>
        <w:fldChar w:fldCharType="end"/>
      </w:r>
      <w:r w:rsidRPr="00046F57">
        <w:t xml:space="preserve">. Implemented in seven high-emission regions, including power and steel sectors, CETS’s varied regional carbon prices and rules create a natural policy experiment. While studies have examined CETS’s effects on environmental governance </w:t>
      </w:r>
      <w:r w:rsidRPr="00046F57">
        <w:rPr>
          <w:shd w:val="clear" w:color="auto" w:fill="FFFFFF"/>
        </w:rPr>
        <w:fldChar w:fldCharType="begin"/>
      </w:r>
      <w:r w:rsidRPr="00046F57">
        <w:rPr>
          <w:shd w:val="clear" w:color="auto" w:fill="FFFFFF"/>
        </w:rPr>
        <w:instrText xml:space="preserve"> ADDIN ZOTERO_ITEM CSL_CITATION {"citationID":"FK4Lvmav","properties":{"formattedCitation":"(Luo et al., 2023)","plainCitation":"(Luo et al., 2023)","noteIndex":0},"citationItems":[{"id":754,"uris":["http://zotero.org/users/local/wH06Ygim/items/2D64IK2R"],"itemData":{"id":754,"type":"article-journal","container-title":"Journal of Cleaner Production","DOI":"10.1016/j.jclepro.2023.138112","ISSN":"09596526","journalAbbreviation":"Journal of Cleaner Production","language":"en","page":"138112","source":"DOI.org (Crossref)","title":"Environmental regulation, green innovation and high-quality development of enterprise: Evidence from China","title-short":"Environmental regulation, green innovation and high-quality development of enterprise","volume":"418","author":[{"family":"Luo","given":"Gengyan"},{"family":"Guo","given":"Jitao"},{"family":"Yang","given":"Fangyi"},{"family":"Wang","given":"Chuyi"}],"issued":{"date-parts":[["2023",9]]}}}],"schema":"https://github.com/citation-style-language/schema/raw/master/csl-citation.json"} </w:instrText>
      </w:r>
      <w:r w:rsidRPr="00046F57">
        <w:rPr>
          <w:shd w:val="clear" w:color="auto" w:fill="FFFFFF"/>
        </w:rPr>
        <w:fldChar w:fldCharType="separate"/>
      </w:r>
      <w:r w:rsidRPr="00046F57">
        <w:t>(Luo et al., 2023)</w:t>
      </w:r>
      <w:r w:rsidRPr="00046F57">
        <w:rPr>
          <w:shd w:val="clear" w:color="auto" w:fill="FFFFFF"/>
        </w:rPr>
        <w:fldChar w:fldCharType="end"/>
      </w:r>
      <w:r w:rsidRPr="00046F57">
        <w:t xml:space="preserve">, innovation </w:t>
      </w:r>
      <w:r w:rsidRPr="00046F57">
        <w:rPr>
          <w:shd w:val="clear" w:color="auto" w:fill="FFFFFF"/>
        </w:rPr>
        <w:fldChar w:fldCharType="begin"/>
      </w:r>
      <w:r w:rsidRPr="00046F57">
        <w:rPr>
          <w:shd w:val="clear" w:color="auto" w:fill="FFFFFF"/>
        </w:rPr>
        <w:instrText xml:space="preserve"> ADDIN ZOTERO_ITEM CSL_CITATION {"citationID":"Jgl0H6QB","properties":{"formattedCitation":"(M. Liu et al., 2022; Pu &amp; Ouyang, 2023; S. Ren et al., 2022)","plainCitation":"(M. Liu et al., 2022; Pu &amp; Ouyang, 2023; S. Ren et al., 2022)","noteIndex":0},"citationItems":[{"id":750,"uris":["http://zotero.org/users/local/wH06Ygim/items/G6W24GWF"],"itemData":{"id":750,"type":"article-journal","container-title":"Energy Policy","DOI":"10.1016/j.enpol.2022.113290","ISSN":"03014215","journalAbbreviation":"Energy Policy","language":"en","page":"113290","source":"DOI.org (Crossref)","title":"Study on the effect of carbon trading regulation on green innovation and heterogeneity analysis from China","volume":"171","author":[{"family":"Liu","given":"Ming"},{"family":"Shan","given":"Yanfei"},{"family":"Li","given":"Yemei"}],"issued":{"date-parts":[["2022",12]]}}},{"id":749,"uris":["http://zotero.org/users/local/wH06Ygim/items/IQ24IZ6R"],"itemData":{"id":749,"type":"article-journal","container-title":"Energy Economics","DOI":"10.1016/j.eneco.2022.106157","ISSN":"01409883","journalAbbreviation":"Energy Economics","language":"en","page":"106157","source":"DOI.org (Crossref)","title":"Emission trading, induced innovation and firm performance","volume":"112","author":[{"family":"Ren","given":"Shenggang"},{"family":"Yang","given":"Xuanyu"},{"family":"Hu","given":"Yucai"},{"family":"Chevallier","given":"Julien"}],"issued":{"date-parts":[["2022",8]]}}},{"id":755,"uris":["http://zotero.org/users/local/wH06Ygim/items/U2M24MYA"],"itemData":{"id":755,"type":"article-journal","container-title":"Journal of Cleaner Production","DOI":"10.1016/j.jclepro.2023.138473","ISSN":"09596526","journalAbbreviation":"Journal of Cleaner Production","language":"en","page":"138473","source":"DOI.org (Crossref)","title":"Can carbon emission trading policy promote green innovation? The perspective of corporate operating difficulties","title-short":"Can carbon emission trading policy promote green innovation?","volume":"420","author":[{"family":"Pu","given":"Si"},{"family":"Ouyang","given":"You"}],"issued":{"date-parts":[["2023",9]]}}}],"schema":"https://github.com/citation-style-language/schema/raw/master/csl-citation.json"} </w:instrText>
      </w:r>
      <w:r w:rsidRPr="00046F57">
        <w:rPr>
          <w:shd w:val="clear" w:color="auto" w:fill="FFFFFF"/>
        </w:rPr>
        <w:fldChar w:fldCharType="separate"/>
      </w:r>
      <w:r w:rsidRPr="00046F57">
        <w:t>(M. Liu et al., 2022; Pu &amp; Ouyang, 2023; S. Ren et al., 2022)</w:t>
      </w:r>
      <w:r w:rsidRPr="00046F57">
        <w:rPr>
          <w:shd w:val="clear" w:color="auto" w:fill="FFFFFF"/>
        </w:rPr>
        <w:fldChar w:fldCharType="end"/>
      </w:r>
      <w:r w:rsidRPr="00046F57">
        <w:t xml:space="preserve">, economic growth </w:t>
      </w:r>
      <w:r w:rsidRPr="00046F57">
        <w:rPr>
          <w:shd w:val="clear" w:color="auto" w:fill="FFFFFF"/>
        </w:rPr>
        <w:fldChar w:fldCharType="begin"/>
      </w:r>
      <w:r w:rsidRPr="00046F57">
        <w:rPr>
          <w:shd w:val="clear" w:color="auto" w:fill="FFFFFF"/>
        </w:rPr>
        <w:instrText xml:space="preserve"> ADDIN ZOTERO_ITEM CSL_CITATION {"citationID":"MyAIGFxN","properties":{"formattedCitation":"(S. Wu, 2023)","plainCitation":"(S. Wu, 2023)","noteIndex":0},"citationItems":[{"id":757,"uris":["http://zotero.org/users/local/wH06Ygim/items/X8U559NV"],"itemData":{"id":757,"type":"article-journal","container-title":"Environmental Impact Assessment Review","DOI":"10.1016/j.eiar.2022.107030","ISSN":"01959255","journalAbbreviation":"Environmental Impact Assessment Review","language":"en","page":"107030","source":"DOI.org (Crossref)","title":"A systematic review of climate policies in China: Evolution, effectiveness, and challenges","title-short":"A systematic review of climate policies in China","volume":"99","author":[{"family":"Wu","given":"Shu"}],"issued":{"date-parts":[["2023",3]]}}}],"schema":"https://github.com/citation-style-language/schema/raw/master/csl-citation.json"} </w:instrText>
      </w:r>
      <w:r w:rsidRPr="00046F57">
        <w:rPr>
          <w:shd w:val="clear" w:color="auto" w:fill="FFFFFF"/>
        </w:rPr>
        <w:fldChar w:fldCharType="separate"/>
      </w:r>
      <w:r w:rsidRPr="00046F57">
        <w:t>(S. Wu, 2023)</w:t>
      </w:r>
      <w:r w:rsidRPr="00046F57">
        <w:rPr>
          <w:shd w:val="clear" w:color="auto" w:fill="FFFFFF"/>
        </w:rPr>
        <w:fldChar w:fldCharType="end"/>
      </w:r>
      <w:r w:rsidRPr="00046F57">
        <w:t xml:space="preserve">, and structural shifts </w:t>
      </w:r>
      <w:r w:rsidRPr="00046F57">
        <w:rPr>
          <w:shd w:val="clear" w:color="auto" w:fill="FFFFFF"/>
        </w:rPr>
        <w:fldChar w:fldCharType="begin"/>
      </w:r>
      <w:r w:rsidRPr="00046F57">
        <w:rPr>
          <w:shd w:val="clear" w:color="auto" w:fill="FFFFFF"/>
        </w:rPr>
        <w:instrText xml:space="preserve"> ADDIN ZOTERO_ITEM CSL_CITATION {"citationID":"iVvdokaj","properties":{"formattedCitation":"(Ma et al., 2023; J. Wu et al., 2023)","plainCitation":"(Ma et al., 2023; J. Wu et al., 2023)","noteIndex":0},"citationItems":[{"id":756,"uris":["http://zotero.org/users/local/wH06Ygim/items/ZFNDMXBF"],"itemData":{"id":756,"type":"article-journal","container-title":"Energy Economics","DOI":"10.1016/j.eneco.2023.106581","ISSN":"01409883","journalAbbreviation":"Energy Economics","language":"en","page":"106581","source":"DOI.org (Crossref)","title":"Does the carbon emissions trading system reduce carbon emissions by promoting two-way FDI in developing countries? Evidence from Chinese listed companies and cities","title-short":"Does the carbon emissions trading system reduce carbon emissions by promoting two-way FDI in developing countries?","volume":"120","author":[{"family":"Ma","given":"Guangcheng"},{"family":"Qin","given":"Jiahong"},{"family":"Zhang","given":"Yumeng"}],"issued":{"date-parts":[["2023",4]]}}},{"id":759,"uris":["http://zotero.org/users/local/wH06Ygim/items/8VQTRUS4"],"itemData":{"id":759,"type":"article-journal","container-title":"Energy Policy","DOI":"10.1016/j.enpol.2023.113796","ISSN":"03014215","journalAbbreviation":"Energy Policy","language":"en","page":"113796","source":"DOI.org (Crossref)","title":"Curse to blessing: The carbon emissions trading system and resource-based cities' carbon mitigation","title-short":"Curse to blessing","volume":"183","author":[{"family":"Wu","given":"Jianxian"},{"family":"Nie","given":"Xin"},{"family":"Wang","given":"Han"}],"issued":{"date-parts":[["2023",12]]}}}],"schema":"https://github.com/citation-style-language/schema/raw/master/csl-citation.json"} </w:instrText>
      </w:r>
      <w:r w:rsidRPr="00046F57">
        <w:rPr>
          <w:shd w:val="clear" w:color="auto" w:fill="FFFFFF"/>
        </w:rPr>
        <w:fldChar w:fldCharType="separate"/>
      </w:r>
      <w:r w:rsidRPr="00046F57">
        <w:t>(Ma et al., 2023; J. Wu et al., 2023)</w:t>
      </w:r>
      <w:r w:rsidRPr="00046F57">
        <w:rPr>
          <w:shd w:val="clear" w:color="auto" w:fill="FFFFFF"/>
        </w:rPr>
        <w:fldChar w:fldCharType="end"/>
      </w:r>
      <w:r w:rsidRPr="00046F57">
        <w:rPr>
          <w:shd w:val="clear" w:color="auto" w:fill="FFFFFF"/>
        </w:rPr>
        <w:t xml:space="preserve">, </w:t>
      </w:r>
      <w:r w:rsidRPr="00046F57">
        <w:t xml:space="preserve">its impact on TFPGE in the coal-fired power sector remains underexplored. This gap is critical, as the coal sector’s high emissions intensity makes it a key target for decarbonization, yet the efficiency benefits of carbon pricing are unclear. This study addresses this gap by investigating how CETS influences TFPGE, exploring regional variations and innovation mechanisms.   </w:t>
      </w:r>
    </w:p>
    <w:p w14:paraId="43C71935" w14:textId="3A04782F" w:rsidR="008061A3" w:rsidRPr="00046F57" w:rsidRDefault="008061A3" w:rsidP="008061A3">
      <w:pPr>
        <w:pStyle w:val="Newparagraph"/>
        <w:jc w:val="both"/>
        <w:rPr>
          <w:shd w:val="clear" w:color="auto" w:fill="FFFFFF"/>
        </w:rPr>
      </w:pPr>
      <w:r w:rsidRPr="00046F57">
        <w:rPr>
          <w:shd w:val="clear" w:color="auto" w:fill="FFFFFF"/>
        </w:rPr>
        <w:t xml:space="preserve">    Examining the link between China’s CETS pilot program and TFPGE in the coal-fired power industry is critical for understanding how carbon pricing can support China’s energy transition. TFPGE, a measure of how efficiently power plants use resources while minimizing environmental impact, is enhanced by well-designed policies that drive technological innovation </w:t>
      </w:r>
      <w:r w:rsidRPr="00046F57">
        <w:rPr>
          <w:shd w:val="clear" w:color="auto" w:fill="FFFFFF"/>
        </w:rPr>
        <w:lastRenderedPageBreak/>
        <w:t xml:space="preserve">and energy upgrades. This study tests Porter’s </w:t>
      </w:r>
      <w:r w:rsidR="007F0A7C">
        <w:rPr>
          <w:shd w:val="clear" w:color="auto" w:fill="FFFFFF"/>
        </w:rPr>
        <w:t>weak</w:t>
      </w:r>
      <w:r w:rsidRPr="00046F57">
        <w:rPr>
          <w:shd w:val="clear" w:color="auto" w:fill="FFFFFF"/>
        </w:rPr>
        <w:t xml:space="preserve"> hypothesis in a coal-dependent context, where the weak form predicts CETS fosters green innovation (e.g., clean combustion technologies) and </w:t>
      </w:r>
      <w:r w:rsidR="007F0A7C">
        <w:rPr>
          <w:shd w:val="clear" w:color="auto" w:fill="FFFFFF"/>
        </w:rPr>
        <w:t xml:space="preserve">thus </w:t>
      </w:r>
      <w:r w:rsidRPr="00046F57">
        <w:rPr>
          <w:shd w:val="clear" w:color="auto" w:fill="FFFFFF"/>
        </w:rPr>
        <w:t xml:space="preserve">improvements in total factor productivity </w:t>
      </w:r>
      <w:r w:rsidRPr="00046F57">
        <w:rPr>
          <w:rFonts w:eastAsia="STIX-Regular"/>
          <w14:ligatures w14:val="standardContextual"/>
        </w:rPr>
        <w:fldChar w:fldCharType="begin"/>
      </w:r>
      <w:r w:rsidRPr="00046F57">
        <w:rPr>
          <w:rFonts w:eastAsia="STIX-Regular"/>
          <w14:ligatures w14:val="standardContextual"/>
        </w:rPr>
        <w:instrText xml:space="preserve"> ADDIN ZOTERO_ITEM CSL_CITATION {"citationID":"wlfnNAtT","properties":{"formattedCitation":"(Yu et al., 2024)","plainCitation":"(Yu et al., 2024)","noteIndex":0},"citationItems":[{"id":515,"uris":["http://zotero.org/users/local/wH06Ygim/items/XBVHXJ7K"],"itemData":{"id":515,"type":"article-journal","container-title":"Energy","DOI":"10.1016/j.energy.2024.132870","ISSN":"03605442","journalAbbreviation":"Energy","language":"en","page":"132870","source":"DOI.org (Crossref)","title":"Carbon emission trading, carbon efficiency, and the Porter hypothesis: Plant-level evidence from China","title-short":"Carbon emission trading, carbon efficiency, and the Porter hypothesis","volume":"308","author":[{"family":"Yu","given":"Yanni"},{"family":"Zhang","given":"Xinyi"},{"family":"Liu","given":"Yunxiao"},{"family":"Zhou","given":"Tao"}],"issued":{"date-parts":[["2024",11]]}}}],"schema":"https://github.com/citation-style-language/schema/raw/master/csl-citation.json"} </w:instrText>
      </w:r>
      <w:r w:rsidRPr="00046F57">
        <w:rPr>
          <w:rFonts w:eastAsia="STIX-Regular"/>
          <w14:ligatures w14:val="standardContextual"/>
        </w:rPr>
        <w:fldChar w:fldCharType="separate"/>
      </w:r>
      <w:r w:rsidRPr="00046F57">
        <w:t>(Yu et al., 2024)</w:t>
      </w:r>
      <w:r w:rsidRPr="00046F57">
        <w:rPr>
          <w:rFonts w:eastAsia="STIX-Regular"/>
          <w14:ligatures w14:val="standardContextual"/>
        </w:rPr>
        <w:fldChar w:fldCharType="end"/>
      </w:r>
      <w:r w:rsidRPr="00046F57">
        <w:rPr>
          <w:shd w:val="clear" w:color="auto" w:fill="FFFFFF"/>
        </w:rPr>
        <w:t xml:space="preserve">. While carbon pricing is recognized for reducing emissions </w:t>
      </w:r>
      <w:r w:rsidRPr="00046F57">
        <w:rPr>
          <w:rFonts w:eastAsia="STIX-Regular"/>
          <w14:ligatures w14:val="standardContextual"/>
        </w:rPr>
        <w:fldChar w:fldCharType="begin"/>
      </w:r>
      <w:r w:rsidRPr="00046F57">
        <w:rPr>
          <w:rFonts w:eastAsia="STIX-Regular"/>
          <w14:ligatures w14:val="standardContextual"/>
        </w:rPr>
        <w:instrText xml:space="preserve"> ADDIN ZOTERO_ITEM CSL_CITATION {"citationID":"SIF7B9iG","properties":{"formattedCitation":"(Tello, 2025)","plainCitation":"(Tello, 2025)","noteIndex":0},"citationItems":[{"id":745,"uris":["http://zotero.org/users/local/wH06Ygim/items/4M33CKKI"],"itemData":{"id":745,"type":"article-journal","container-title":"Energy Policy","DOI":"10.1016/j.enpol.2024.114434","ISSN":"03014215","journalAbbreviation":"Energy Policy","language":"en","page":"114434","source":"DOI.org (Crossref)","title":"Policy interactions and electricity generation sector CO2 emissions: A quasi-experimental analysis","title-short":"Policy interactions and electricity generation sector CO2 emissions","volume":"198","author":[{"family":"Tello","given":"Witson Peña"}],"issued":{"date-parts":[["2025",3]]}}}],"schema":"https://github.com/citation-style-language/schema/raw/master/csl-citation.json"} </w:instrText>
      </w:r>
      <w:r w:rsidRPr="00046F57">
        <w:rPr>
          <w:rFonts w:eastAsia="STIX-Regular"/>
          <w14:ligatures w14:val="standardContextual"/>
        </w:rPr>
        <w:fldChar w:fldCharType="separate"/>
      </w:r>
      <w:r w:rsidRPr="00046F57">
        <w:rPr>
          <w:rFonts w:eastAsia="STIX-Regular"/>
        </w:rPr>
        <w:t>(Tello, 2025)</w:t>
      </w:r>
      <w:r w:rsidRPr="00046F57">
        <w:rPr>
          <w:rFonts w:eastAsia="STIX-Regular"/>
          <w14:ligatures w14:val="standardContextual"/>
        </w:rPr>
        <w:fldChar w:fldCharType="end"/>
      </w:r>
      <w:r w:rsidRPr="00046F57">
        <w:rPr>
          <w:shd w:val="clear" w:color="auto" w:fill="FFFFFF"/>
        </w:rPr>
        <w:t xml:space="preserve">, its efficiency impacts are debated, with some studies citing innovation-driven gains </w:t>
      </w:r>
      <w:r w:rsidRPr="00046F57">
        <w:rPr>
          <w:rFonts w:eastAsia="STIX-Regular"/>
          <w14:ligatures w14:val="standardContextual"/>
        </w:rPr>
        <w:fldChar w:fldCharType="begin"/>
      </w:r>
      <w:r w:rsidRPr="00046F57">
        <w:rPr>
          <w:rFonts w:eastAsia="STIX-Regular"/>
          <w14:ligatures w14:val="standardContextual"/>
        </w:rPr>
        <w:instrText xml:space="preserve"> ADDIN ZOTERO_ITEM CSL_CITATION {"citationID":"FIwftHXu","properties":{"formattedCitation":"(R. Chen et al., 2024; Q. Wu &amp; Wang, 2022; Yu et al., 2024)","plainCitation":"(R. Chen et al., 2024; Q. Wu &amp; Wang, 2022; Yu et al., 2024)","noteIndex":0},"citationItems":[{"id":169,"uris":["http://zotero.org/users/local/wH06Ygim/items/J7CZ4I2J"],"itemData":{"id":169,"type":"article-journal","container-title":"Energy Economics","DOI":"10.1016/j.eneco.2022.105990","ISSN":"01409883","journalAbbreviation":"Energy Economics","language":"en","page":"105990","source":"DOI.org (Crossref)","title":"How does carbon emission price stimulate enterprises' total factor productivity? Insights from China's emission trading scheme pilots","title-short":"How does carbon emission price stimulate enterprises' total factor productivity?","volume":"109","author":[{"family":"Wu","given":"Qingyang"},{"family":"Wang","given":"Yanying"}],"issued":{"date-parts":[["2022",5]]}}},{"id":752,"uris":["http://zotero.org/users/local/wH06Ygim/items/S2TFFMRQ"],"itemData":{"id":752,"type":"article-journal","container-title":"Energy Economics","DOI":"10.1016/j.eneco.2024.107376","ISSN":"01409883","journalAbbreviation":"Energy Economics","language":"en","page":"107376","source":"DOI.org (Crossref)","title":"The impact of ETS on productivity in developing economies: A micro-econometric evaluation with Chinese firm-level data","title-short":"The impact of ETS on productivity in developing economies","volume":"131","author":[{"family":"Chen","given":"Rushi"},{"family":"Howley","given":"Peter"},{"family":"Kesidou","given":"Effie"}],"issued":{"date-parts":[["2024",3]]}}},{"id":515,"uris":["http://zotero.org/users/local/wH06Ygim/items/XBVHXJ7K"],"itemData":{"id":515,"type":"article-journal","container-title":"Energy","DOI":"10.1016/j.energy.2024.132870","ISSN":"03605442","journalAbbreviation":"Energy","language":"en","page":"132870","source":"DOI.org (Crossref)","title":"Carbon emission trading, carbon efficiency, and the Porter hypothesis: Plant-level evidence from China","title-short":"Carbon emission trading, carbon efficiency, and the Porter hypothesis","volume":"308","author":[{"family":"Yu","given":"Yanni"},{"family":"Zhang","given":"Xinyi"},{"family":"Liu","given":"Yunxiao"},{"family":"Zhou","given":"Tao"}],"issued":{"date-parts":[["2024",11]]}}}],"schema":"https://github.com/citation-style-language/schema/raw/master/csl-citation.json"} </w:instrText>
      </w:r>
      <w:r w:rsidRPr="00046F57">
        <w:rPr>
          <w:rFonts w:eastAsia="STIX-Regular"/>
          <w14:ligatures w14:val="standardContextual"/>
        </w:rPr>
        <w:fldChar w:fldCharType="separate"/>
      </w:r>
      <w:r w:rsidRPr="00046F57">
        <w:t>(R. Chen et al., 2024; Q. Wu &amp; Wang, 2022; Yu et al., 2024)</w:t>
      </w:r>
      <w:r w:rsidRPr="00046F57">
        <w:rPr>
          <w:rFonts w:eastAsia="STIX-Regular"/>
          <w14:ligatures w14:val="standardContextual"/>
        </w:rPr>
        <w:fldChar w:fldCharType="end"/>
      </w:r>
      <w:r w:rsidRPr="00046F57">
        <w:rPr>
          <w:rFonts w:eastAsia="STIX-Regular"/>
          <w14:ligatures w14:val="standardContextual"/>
        </w:rPr>
        <w:t>,</w:t>
      </w:r>
      <w:r w:rsidRPr="00046F57">
        <w:rPr>
          <w:shd w:val="clear" w:color="auto" w:fill="FFFFFF"/>
        </w:rPr>
        <w:t xml:space="preserve"> and others noting trade-offs like resource diversion </w:t>
      </w:r>
      <w:r w:rsidRPr="00046F57">
        <w:rPr>
          <w:shd w:val="clear" w:color="auto" w:fill="FFFFFF"/>
        </w:rPr>
        <w:fldChar w:fldCharType="begin"/>
      </w:r>
      <w:r w:rsidRPr="00046F57">
        <w:rPr>
          <w:shd w:val="clear" w:color="auto" w:fill="FFFFFF"/>
        </w:rPr>
        <w:instrText xml:space="preserve"> ADDIN ZOTERO_ITEM CSL_CITATION {"citationID":"Wl7AovE6","properties":{"formattedCitation":"(Sun et al., 2023a)","plainCitation":"(Sun et al., 2023a)","noteIndex":0},"citationItems":[{"id":760,"uris":["http://zotero.org/users/local/wH06Ygim/items/74P9CEGA"],"itemData":{"id":760,"type":"article-journal","container-title":"Energy Economics","DOI":"10.1016/j.eneco.2023.106984","ISSN":"01409883","journalAbbreviation":"Energy Economics","language":"en","page":"106984","source":"DOI.org (Crossref)","title":"Does the pilot emissions trading system in China promote innovation? Evidence based on green technology innovation in the energy sector","title-short":"Does the pilot emissions trading system in China promote innovation?","volume":"126","author":[{"family":"Sun","given":"Yanming"},{"family":"Shen","given":"Simiao"},{"family":"Zhou","given":"Chuanyu"}],"issued":{"date-parts":[["2023",10]]}}}],"schema":"https://github.com/citation-style-language/schema/raw/master/csl-citation.json"} </w:instrText>
      </w:r>
      <w:r w:rsidRPr="00046F57">
        <w:rPr>
          <w:shd w:val="clear" w:color="auto" w:fill="FFFFFF"/>
        </w:rPr>
        <w:fldChar w:fldCharType="separate"/>
      </w:r>
      <w:r w:rsidRPr="00046F57">
        <w:t>(Sun et al., 2023a)</w:t>
      </w:r>
      <w:r w:rsidRPr="00046F57">
        <w:rPr>
          <w:shd w:val="clear" w:color="auto" w:fill="FFFFFF"/>
        </w:rPr>
        <w:fldChar w:fldCharType="end"/>
      </w:r>
      <w:r w:rsidRPr="00046F57">
        <w:rPr>
          <w:shd w:val="clear" w:color="auto" w:fill="FFFFFF"/>
        </w:rPr>
        <w:t xml:space="preserve"> or innovation suppression </w:t>
      </w:r>
      <w:r w:rsidRPr="00046F57">
        <w:rPr>
          <w:shd w:val="clear" w:color="auto" w:fill="FFFFFF"/>
        </w:rPr>
        <w:fldChar w:fldCharType="begin"/>
      </w:r>
      <w:r w:rsidRPr="00046F57">
        <w:rPr>
          <w:shd w:val="clear" w:color="auto" w:fill="FFFFFF"/>
        </w:rPr>
        <w:instrText xml:space="preserve"> ADDIN ZOTERO_ITEM CSL_CITATION {"citationID":"GlbyCPcw","properties":{"formattedCitation":"(Xin-gang et al., 2025a)","plainCitation":"(Xin-gang et al., 2025a)","noteIndex":0},"citationItems":[{"id":748,"uris":["http://zotero.org/users/local/wH06Ygim/items/STQVVD2N"],"itemData":{"id":748,"type":"article-journal","abstract":"Improving green total factor productivity (GTFP) in the power industry is crucial for achieving China's clean and low-carbon transition and sustainable economic growth. Green technological innovation (GTI) is a key factor driving carbon emissions reduction and improving economic efficiency in the power industry. Therefore, this study utilizes data from 30 provinces in China covering the period 2005–2021 and employs a multiple period difference-in-difference (DID) model to investigate the impact of the carbon trading pilot policy (CTPP) on GTFP in the power industry from the perspective of GTI. The results indicate the following: First, CTPP significantly enhances GTFP in the pilot regions of the power industry. Second, GTI plays a positive mediating role in the relationship between CTPP and GTFP in the power industry, validating the existence of Porter effect in China's power industry carbon emission trading system. Third, there are heterogeneities in the policy effects across the pilot regions, with Beijing and Guangdong achieving outstanding results in improving GTFP compared to other carbon trading pilots. Finally, relevant policy recommendations are provided for carbon market development and improving GTFP in the power industry.","container-title":"Journal of Renewable and Sustainable Energy","DOI":"10.1063/5.0235309","ISSN":"1941-7012","issue":"1","language":"en","page":"015906","source":"DOI.org (Crossref)","title":"Impact of carbon emissions trading on green total factor productivity of China's power industry: A green technology innovation perspective","title-short":"Impact of carbon emissions trading on green total factor productivity of China's power industry","volume":"17","author":[{"family":"Xin-gang","given":"Zhao"},{"family":"Xi","given":"Xu"},{"family":"Shuran","given":"Hu"},{"family":"Haowei","given":"Chen"}],"issued":{"date-parts":[["2025",1,1]]}}}],"schema":"https://github.com/citation-style-language/schema/raw/master/csl-citation.json"} </w:instrText>
      </w:r>
      <w:r w:rsidRPr="00046F57">
        <w:rPr>
          <w:shd w:val="clear" w:color="auto" w:fill="FFFFFF"/>
        </w:rPr>
        <w:fldChar w:fldCharType="separate"/>
      </w:r>
      <w:r w:rsidRPr="00046F57">
        <w:t>(Xin-gang et al., 2025a)</w:t>
      </w:r>
      <w:r w:rsidRPr="00046F57">
        <w:rPr>
          <w:shd w:val="clear" w:color="auto" w:fill="FFFFFF"/>
        </w:rPr>
        <w:fldChar w:fldCharType="end"/>
      </w:r>
      <w:r w:rsidRPr="00046F57">
        <w:rPr>
          <w:shd w:val="clear" w:color="auto" w:fill="FFFFFF"/>
        </w:rPr>
        <w:t xml:space="preserve">. Moreover, prior research often overlooks CETS’s regional variations and mechanisms like </w:t>
      </w:r>
      <w:r w:rsidR="008872DE">
        <w:rPr>
          <w:shd w:val="clear" w:color="auto" w:fill="FFFFFF"/>
        </w:rPr>
        <w:t xml:space="preserve">environmental </w:t>
      </w:r>
      <w:r w:rsidRPr="00046F57">
        <w:rPr>
          <w:shd w:val="clear" w:color="auto" w:fill="FFFFFF"/>
        </w:rPr>
        <w:t>resource commitment and clean combustion technologies. Our study addresses these gaps by analysing CETS’s impact on TFPGE, its mediating mechanisms, and its regional heterogeneity, offering insights for tailoring carbon pricing to diverse regional contexts. Specifically, our study aims to answer the following questions:</w:t>
      </w:r>
    </w:p>
    <w:p w14:paraId="481ED1B5" w14:textId="77777777" w:rsidR="008061A3" w:rsidRPr="00046F57" w:rsidRDefault="008061A3" w:rsidP="008061A3">
      <w:pPr>
        <w:pStyle w:val="Numberedlist"/>
        <w:rPr>
          <w:shd w:val="clear" w:color="auto" w:fill="FFFFFF"/>
        </w:rPr>
      </w:pPr>
      <w:r w:rsidRPr="00046F57">
        <w:rPr>
          <w:shd w:val="clear" w:color="auto" w:fill="FFFFFF"/>
        </w:rPr>
        <w:t>How does the CETS pilot policy impact TFPGE in China’s coal-fired power industry, and to what extent do regional variations influence this relationship?</w:t>
      </w:r>
    </w:p>
    <w:p w14:paraId="615FE338" w14:textId="77777777" w:rsidR="008061A3" w:rsidRPr="00046F57" w:rsidRDefault="008061A3" w:rsidP="008061A3">
      <w:pPr>
        <w:pStyle w:val="Numberedlist"/>
        <w:rPr>
          <w:shd w:val="clear" w:color="auto" w:fill="FFFFFF"/>
        </w:rPr>
      </w:pPr>
      <w:r w:rsidRPr="00046F57">
        <w:rPr>
          <w:rFonts w:eastAsiaTheme="minorEastAsia"/>
          <w14:ligatures w14:val="standardContextual"/>
        </w:rPr>
        <w:t xml:space="preserve">What role do resource commitment and clean combustion technology innovations play in mediating the relationship between the CETS pilot policy and TFPGE in China’s coal-fired power industry? </w:t>
      </w:r>
    </w:p>
    <w:p w14:paraId="369CCCB6" w14:textId="74C3F0A4" w:rsidR="008061A3" w:rsidRPr="00046F57" w:rsidRDefault="008061A3" w:rsidP="008061A3">
      <w:pPr>
        <w:pStyle w:val="Numberedlist"/>
        <w:rPr>
          <w:shd w:val="clear" w:color="auto" w:fill="FFFFFF"/>
        </w:rPr>
      </w:pPr>
      <w:r w:rsidRPr="00046F57">
        <w:rPr>
          <w:rFonts w:eastAsiaTheme="minorEastAsia"/>
          <w14:ligatures w14:val="standardContextual"/>
        </w:rPr>
        <w:t xml:space="preserve">Does Porter’s </w:t>
      </w:r>
      <w:r w:rsidR="007F0A7C">
        <w:rPr>
          <w:rFonts w:eastAsiaTheme="minorEastAsia"/>
          <w14:ligatures w14:val="standardContextual"/>
        </w:rPr>
        <w:t xml:space="preserve">weak </w:t>
      </w:r>
      <w:r w:rsidRPr="00046F57">
        <w:rPr>
          <w:rFonts w:eastAsiaTheme="minorEastAsia"/>
          <w14:ligatures w14:val="standardContextual"/>
        </w:rPr>
        <w:t>hypothesis hold in the context of the CETS pilot policy’s impact on TFPGE in China’s coal-fired power industry, particularly in regions with varying energy structures?</w:t>
      </w:r>
      <w:r w:rsidRPr="00046F57">
        <w:rPr>
          <w:shd w:val="clear" w:color="auto" w:fill="FFFFFF"/>
        </w:rPr>
        <w:t xml:space="preserve">    </w:t>
      </w:r>
    </w:p>
    <w:p w14:paraId="38663523" w14:textId="2A898539" w:rsidR="008061A3" w:rsidRPr="00046F57" w:rsidRDefault="008061A3" w:rsidP="008061A3">
      <w:pPr>
        <w:pStyle w:val="Newparagraph"/>
        <w:jc w:val="both"/>
        <w:rPr>
          <w:shd w:val="clear" w:color="auto" w:fill="FFFFFF"/>
        </w:rPr>
      </w:pPr>
      <w:r w:rsidRPr="00046F57">
        <w:rPr>
          <w:shd w:val="clear" w:color="auto" w:fill="FFFFFF"/>
        </w:rPr>
        <w:t xml:space="preserve">To address these questions, this study employs a quasi-natural experiment, leveraging the official rollout of the CETS pilot policy as an exogenous event, and applies difference-in-differences (DID) </w:t>
      </w:r>
      <w:r w:rsidR="008872DE">
        <w:rPr>
          <w:shd w:val="clear" w:color="auto" w:fill="FFFFFF"/>
        </w:rPr>
        <w:t xml:space="preserve">and multi-period </w:t>
      </w:r>
      <w:r w:rsidR="008872DE" w:rsidRPr="00046F57">
        <w:rPr>
          <w:shd w:val="clear" w:color="auto" w:fill="FFFFFF"/>
        </w:rPr>
        <w:t>difference-in-differences</w:t>
      </w:r>
      <w:r w:rsidR="008872DE">
        <w:rPr>
          <w:shd w:val="clear" w:color="auto" w:fill="FFFFFF"/>
        </w:rPr>
        <w:t xml:space="preserve"> approaches</w:t>
      </w:r>
      <w:r w:rsidRPr="00046F57">
        <w:rPr>
          <w:shd w:val="clear" w:color="auto" w:fill="FFFFFF"/>
        </w:rPr>
        <w:t xml:space="preserve"> to evaluate its impact on TFPGE. The analysis draws on an industry-level dataset from the coal-fired power sector across </w:t>
      </w:r>
      <w:r w:rsidRPr="00046F57">
        <w:rPr>
          <w:shd w:val="clear" w:color="auto" w:fill="FFFFFF"/>
        </w:rPr>
        <w:lastRenderedPageBreak/>
        <w:t xml:space="preserve">30 provinces and cities in mainland China (excluding Tibet Autonomous Region) from 2008 to 2019, a period that captures the pre- and post-CETS pilot implementation phases. Using a super-efficiency slacks-based measure (SBM) model integrated with data envelopment analysis (DEA), we calculate TFGE to assess efficiency while accounting for environmental constraints. The findings reveal several key insights: </w:t>
      </w:r>
    </w:p>
    <w:p w14:paraId="44116372" w14:textId="7C3F742A" w:rsidR="008061A3" w:rsidRPr="00046F57" w:rsidRDefault="008061A3" w:rsidP="008061A3">
      <w:pPr>
        <w:pStyle w:val="Newparagraph"/>
        <w:jc w:val="both"/>
        <w:rPr>
          <w:shd w:val="clear" w:color="auto" w:fill="FFFFFF"/>
        </w:rPr>
      </w:pPr>
      <w:r w:rsidRPr="00046F57">
        <w:rPr>
          <w:b/>
          <w:bCs/>
          <w:i/>
          <w:iCs/>
          <w:shd w:val="clear" w:color="auto" w:fill="FFFFFF"/>
        </w:rPr>
        <w:t xml:space="preserve">First, </w:t>
      </w:r>
      <w:r w:rsidRPr="00046F57">
        <w:rPr>
          <w:shd w:val="clear" w:color="auto" w:fill="FFFFFF"/>
        </w:rPr>
        <w:t>the national average TFPGE is 0.9838, with regional variations: the East leads at 1.0003, followed by the West at 0.9835, while the Central region lags at 0.9676, due to its heavy coal reliance and slower technology adoption.</w:t>
      </w:r>
      <w:r w:rsidRPr="00046F57">
        <w:rPr>
          <w:b/>
          <w:bCs/>
          <w:i/>
          <w:iCs/>
          <w:shd w:val="clear" w:color="auto" w:fill="FFFFFF"/>
        </w:rPr>
        <w:t xml:space="preserve"> Second, </w:t>
      </w:r>
      <w:r w:rsidRPr="00046F57">
        <w:rPr>
          <w:shd w:val="clear" w:color="auto" w:fill="FFFFFF"/>
        </w:rPr>
        <w:t>using a Super-efficiency SBM-DEA model</w:t>
      </w:r>
      <w:r w:rsidR="005561A5">
        <w:rPr>
          <w:shd w:val="clear" w:color="auto" w:fill="FFFFFF"/>
        </w:rPr>
        <w:t xml:space="preserve">, a </w:t>
      </w:r>
      <w:r w:rsidRPr="00046F57">
        <w:rPr>
          <w:shd w:val="clear" w:color="auto" w:fill="FFFFFF"/>
        </w:rPr>
        <w:t xml:space="preserve">traditional differences-in-differences (DID), </w:t>
      </w:r>
      <w:r w:rsidR="005561A5">
        <w:rPr>
          <w:shd w:val="clear" w:color="auto" w:fill="FFFFFF"/>
        </w:rPr>
        <w:t xml:space="preserve">and a </w:t>
      </w:r>
      <w:r w:rsidRPr="00046F57">
        <w:rPr>
          <w:shd w:val="clear" w:color="auto" w:fill="FFFFFF"/>
        </w:rPr>
        <w:t xml:space="preserve">multi-period DID accounting for staggered CETS rollouts, we find that the CETS pilot policy modestly improves TFPGE by 2.90% in pilot regions, a result robust to </w:t>
      </w:r>
      <w:r w:rsidRPr="00046F57">
        <w:rPr>
          <w:color w:val="000000"/>
          <w:shd w:val="clear" w:color="auto" w:fill="FFFFFF"/>
        </w:rPr>
        <w:t xml:space="preserve">multiple robustness checks, including a parallel trend test, placebo tests, propensity score matching DID (PSM-DID) model, dynamic time window test, quantile regression, and exclusion of specific samples, </w:t>
      </w:r>
      <w:r w:rsidRPr="00046F57">
        <w:rPr>
          <w:shd w:val="clear" w:color="auto" w:fill="FFFFFF"/>
        </w:rPr>
        <w:t xml:space="preserve">highlighting the policy’s role in decarbonizing a critical sector. </w:t>
      </w:r>
      <w:r w:rsidRPr="00046F57">
        <w:rPr>
          <w:b/>
          <w:bCs/>
          <w:i/>
          <w:iCs/>
          <w:shd w:val="clear" w:color="auto" w:fill="FFFFFF"/>
        </w:rPr>
        <w:t xml:space="preserve">Third, </w:t>
      </w:r>
      <w:r w:rsidRPr="00046F57">
        <w:rPr>
          <w:shd w:val="clear" w:color="auto" w:fill="FFFFFF"/>
        </w:rPr>
        <w:t>the policy’s effect is mediated by enhanced environmental resource commitment (e.g., investments in efficiency infrastructure) and advanced combustion technologies (e.g., ultra-supercritical systems), which improve efficiency and reduce emissions, offering partial support for Porter’s</w:t>
      </w:r>
      <w:r w:rsidR="007F0A7C">
        <w:rPr>
          <w:shd w:val="clear" w:color="auto" w:fill="FFFFFF"/>
        </w:rPr>
        <w:t xml:space="preserve"> </w:t>
      </w:r>
      <w:r w:rsidRPr="00046F57">
        <w:rPr>
          <w:shd w:val="clear" w:color="auto" w:fill="FFFFFF"/>
        </w:rPr>
        <w:t xml:space="preserve">hypothesis, particularly its innovation-driven weak form. </w:t>
      </w:r>
      <w:r w:rsidRPr="00046F57">
        <w:rPr>
          <w:b/>
          <w:bCs/>
          <w:i/>
          <w:iCs/>
          <w:shd w:val="clear" w:color="auto" w:fill="FFFFFF"/>
        </w:rPr>
        <w:t xml:space="preserve">Fourth, </w:t>
      </w:r>
      <w:r w:rsidRPr="00046F57">
        <w:rPr>
          <w:shd w:val="clear" w:color="auto" w:fill="FFFFFF"/>
        </w:rPr>
        <w:t>heterogeneity analysis shows CETS is more effective in the West (2.9% TFPGE increase) and East (2.5%) than the Central region (1.7%), reflecting differences in coal dependency and policy enforcement, with stronger gains in low thermal power share regions (2.6%) versus high thermal power share areas (1.46%). These results underscore the role of regional energy profiles in shaping policy outcomes, suggesting region-specific carbon pricing and technology incentives to enhance TFPGE and support sustainable energy transitions.</w:t>
      </w:r>
    </w:p>
    <w:p w14:paraId="6A20DD2F" w14:textId="77777777" w:rsidR="008061A3" w:rsidRPr="00046F57" w:rsidRDefault="008061A3" w:rsidP="008061A3">
      <w:pPr>
        <w:pStyle w:val="Newparagraph"/>
        <w:jc w:val="both"/>
        <w:rPr>
          <w:shd w:val="clear" w:color="auto" w:fill="FFFFFF"/>
        </w:rPr>
      </w:pPr>
      <w:r w:rsidRPr="00046F57">
        <w:rPr>
          <w:shd w:val="clear" w:color="auto" w:fill="FFFFFF"/>
        </w:rPr>
        <w:lastRenderedPageBreak/>
        <w:t xml:space="preserve">    This study offers three key contributions to environmental planning and management, focusing on carbon pricing and energy efficiency in China’s coal-fired power sector. </w:t>
      </w:r>
    </w:p>
    <w:p w14:paraId="09D24CF0" w14:textId="77777777" w:rsidR="008061A3" w:rsidRPr="00046F57" w:rsidRDefault="008061A3" w:rsidP="008061A3">
      <w:pPr>
        <w:pStyle w:val="Newparagraph"/>
        <w:jc w:val="both"/>
        <w:rPr>
          <w:shd w:val="clear" w:color="auto" w:fill="FFFFFF"/>
        </w:rPr>
      </w:pPr>
      <w:r w:rsidRPr="00046F57">
        <w:rPr>
          <w:b/>
          <w:bCs/>
          <w:i/>
          <w:iCs/>
          <w:shd w:val="clear" w:color="auto" w:fill="FFFFFF"/>
        </w:rPr>
        <w:t>First</w:t>
      </w:r>
      <w:r w:rsidRPr="00046F57">
        <w:rPr>
          <w:shd w:val="clear" w:color="auto" w:fill="FFFFFF"/>
        </w:rPr>
        <w:t xml:space="preserve">, it advances the understanding of Total Factor Power Generation Efficiency (TFPGE) by showing that the CETS pilot policy modestly improves TFPGE by 2.90% in pilot regions, with regional variations: 2.9% in the West, 2.5% in the East, and 1.7% in the Central region, reflecting differences in coal reliance and policy enforcement. While prior studies have explored CETS’s role in environmental governance </w:t>
      </w:r>
      <w:r w:rsidRPr="00046F57">
        <w:rPr>
          <w:shd w:val="clear" w:color="auto" w:fill="FFFFFF"/>
        </w:rPr>
        <w:fldChar w:fldCharType="begin"/>
      </w:r>
      <w:r w:rsidRPr="00046F57">
        <w:rPr>
          <w:shd w:val="clear" w:color="auto" w:fill="FFFFFF"/>
        </w:rPr>
        <w:instrText xml:space="preserve"> ADDIN ZOTERO_ITEM CSL_CITATION {"citationID":"Xve4hboL","properties":{"formattedCitation":"(Cao et al., 2021; X. Li et al., 2024; Q. Wu et al., 2023)","plainCitation":"(Cao et al., 2021; X. Li et al., 2024; Q. Wu et al., 2023)","noteIndex":0},"citationItems":[{"id":352,"uris":["http://zotero.org/users/local/wH06Ygim/items/5BAFB2HY"],"itemData":{"id":352,"type":"article-journal","container-title":"Journal of Public Economics","DOI":"10.1016/j.jpubeco.2021.104470","ISSN":"00472727","journalAbbreviation":"Journal of Public Economics","language":"en","page":"104470","source":"DOI.org (Crossref)","title":"When carbon emission trading meets a regulated industry: Evidence from the electricity sector of China","title-short":"When carbon emission trading meets a regulated industry","volume":"200","author":[{"family":"Cao","given":"Jing"},{"family":"Ho","given":"Mun S."},{"family":"Ma","given":"Rong"},{"family":"Teng","given":"Fei"}],"issued":{"date-parts":[["2021",8]]}}},{"id":173,"uris":["http://zotero.org/users/local/wH06Ygim/items/UVVKQSY8"],"itemData":{"id":173,"type":"article-journal","abstract":"Abstract\n            The carbon emissions trading system (CETS) is a helpful policy instrument for separating carbon emissions from economic expansion, and it significantly impacts energy efficiency (EE). This study uses 30 Chinese provinces from 2007 to 2020 as its research samples, and classifies energy efficiency into single-factor energy efficiency (SFE) and total-factor energy efficiency (TFE), using the difference-in-differences model to examine the effect and mechanism of the CETS on EE. As an additional tool to assess the efficacy of the CETS, the corresponding evolution of the rebound effect of energy-related carbon emissions (RECE) is also calculated. This study shows that the CETS can significantly improve EE in China's pilot provinces. The influence mechanism indicates that the effect of the CETS on EE is influenced by the level of government governance, green innovation, and industrial structure optimization. Further study finds that after the CETS was carried out, the RECE in pilot provinces was higher than that in non-pilot provinces, and 31.4% of carbon emissions reduced by EE improvement rebounded. Therefore, the CETS has yet to realize its full carbon reduction potential. The study offers specific policy proposals for the enhancement of China's CETS in light of the aforementioned findings.","container-title":"Scientific Reports","DOI":"10.1038/s41598-023-50621-3","ISSN":"2045-2322","issue":"1","journalAbbreviation":"Sci Rep","language":"en","page":"279","source":"DOI.org (Crossref)","title":"Practical effects of carbon emissions trading system on energy efficiency","volume":"14","author":[{"family":"Li","given":"Xue"},{"family":"Cao","given":"Aochen"},{"family":"Zhang","given":"Yuhan"},{"family":"Zhao","given":"Yuting"},{"family":"Chen","given":"Lulu"},{"family":"Jiang","given":"Pan"},{"family":"Liu","given":"Liang"}],"issued":{"date-parts":[["2024",1,2]]}}},{"id":383,"uris":["http://zotero.org/users/local/wH06Ygim/items/NXKM3GBH"],"itemData":{"id":383,"type":"article-journal","container-title":"Energy Policy","DOI":"10.1016/j.enpol.2023.113524","ISSN":"03014215","journalAbbreviation":"Energy Policy","language":"en","page":"113524","source":"DOI.org (Crossref)","title":"How carbon emission prices accelerate net zero: Evidence from China's coal-fired power plants","title-short":"How carbon emission prices accelerate net zero","volume":"177","author":[{"family":"Wu","given":"Qingyang"},{"family":"Tan","given":"Chang"},{"family":"Wang","given":"Daoping"},{"family":"Wu","given":"Yongtao"},{"family":"Meng","given":"Jing"},{"family":"Zheng","given":"Heran"}],"issued":{"date-parts":[["2023",6]]}}}],"schema":"https://github.com/citation-style-language/schema/raw/master/csl-citation.json"} </w:instrText>
      </w:r>
      <w:r w:rsidRPr="00046F57">
        <w:rPr>
          <w:shd w:val="clear" w:color="auto" w:fill="FFFFFF"/>
        </w:rPr>
        <w:fldChar w:fldCharType="separate"/>
      </w:r>
      <w:r w:rsidRPr="00046F57">
        <w:t>(Cao et al., 2021; X. Li et al., 2024; Q. Wu et al., 2023)</w:t>
      </w:r>
      <w:r w:rsidRPr="00046F57">
        <w:rPr>
          <w:shd w:val="clear" w:color="auto" w:fill="FFFFFF"/>
        </w:rPr>
        <w:fldChar w:fldCharType="end"/>
      </w:r>
      <w:r w:rsidRPr="00046F57">
        <w:rPr>
          <w:shd w:val="clear" w:color="auto" w:fill="FFFFFF"/>
        </w:rPr>
        <w:t>, they often overlook its impact on efficiency metrics like TFPGE in the coal-fired power sector—a critical area given its dominance in China’s energy mix and emissions profile. By focusing on regional heterogeneity, this study offers a fresh perspective on how carbon pricing can be leveraged to improve efficiency, addressing a gap in the literature and providing a foundation for more targeted environmental policies.</w:t>
      </w:r>
    </w:p>
    <w:p w14:paraId="63DE4623" w14:textId="77777777" w:rsidR="008061A3" w:rsidRPr="00046F57" w:rsidRDefault="008061A3" w:rsidP="008061A3">
      <w:pPr>
        <w:pStyle w:val="Newparagraph"/>
        <w:jc w:val="both"/>
        <w:rPr>
          <w:shd w:val="clear" w:color="auto" w:fill="FFFFFF"/>
        </w:rPr>
      </w:pPr>
      <w:r w:rsidRPr="00046F57">
        <w:rPr>
          <w:b/>
          <w:bCs/>
          <w:i/>
          <w:iCs/>
          <w:shd w:val="clear" w:color="auto" w:fill="FFFFFF"/>
        </w:rPr>
        <w:t>Second</w:t>
      </w:r>
      <w:r w:rsidRPr="00046F57">
        <w:rPr>
          <w:shd w:val="clear" w:color="auto" w:fill="FFFFFF"/>
        </w:rPr>
        <w:t xml:space="preserve">, it enriches the theoretical discourse on environmental regulations by offering partial support for Porter’s hypothesis in China’s coal-fired power sector. Our findings, supported by instrumental variable analysis, show that CETS drives TFPGE through enhanced environmental resource commitment (e.g., investments in efficiency infrastructure) and advanced combustion technologies (e.g., ultra-supercritical systems), yielding ecological and economic benefits. This contrasts with studies suggesting regulatory trade-offs </w:t>
      </w:r>
      <w:r w:rsidRPr="00046F57">
        <w:rPr>
          <w:shd w:val="clear" w:color="auto" w:fill="FFFFFF"/>
        </w:rPr>
        <w:fldChar w:fldCharType="begin"/>
      </w:r>
      <w:r w:rsidRPr="00046F57">
        <w:rPr>
          <w:shd w:val="clear" w:color="auto" w:fill="FFFFFF"/>
        </w:rPr>
        <w:instrText xml:space="preserve"> ADDIN ZOTERO_ITEM CSL_CITATION {"citationID":"LmSVXR48","properties":{"formattedCitation":"(Sun et al., 2023b; Xin-gang et al., 2025a)","plainCitation":"(Sun et al., 2023b; Xin-gang et al., 2025a)","noteIndex":0},"citationItems":[{"id":576,"uris":["http://zotero.org/users/local/wH06Ygim/items/ZBM8U6IN"],"itemData":{"id":576,"type":"article-journal","container-title":"Energy Economics","DOI":"10.1016/j.eneco.2023.106984","ISSN":"01409883","journalAbbreviation":"Energy Economics","language":"en","page":"106984","source":"DOI.org (Crossref)","title":"Does the pilot emissions trading system in China promote innovation? Evidence based on green technology innovation in the energy sector","title-short":"Does the pilot emissions trading system in China promote innovation?","volume":"126","author":[{"family":"Sun","given":"Yanming"},{"family":"Shen","given":"Simiao"},{"family":"Zhou","given":"Chuanyu"}],"issued":{"date-parts":[["2023",10]]}}},{"id":748,"uris":["http://zotero.org/users/local/wH06Ygim/items/STQVVD2N"],"itemData":{"id":748,"type":"article-journal","abstract":"Improving green total factor productivity (GTFP) in the power industry is crucial for achieving China's clean and low-carbon transition and sustainable economic growth. Green technological innovation (GTI) is a key factor driving carbon emissions reduction and improving economic efficiency in the power industry. Therefore, this study utilizes data from 30 provinces in China covering the period 2005–2021 and employs a multiple period difference-in-difference (DID) model to investigate the impact of the carbon trading pilot policy (CTPP) on GTFP in the power industry from the perspective of GTI. The results indicate the following: First, CTPP significantly enhances GTFP in the pilot regions of the power industry. Second, GTI plays a positive mediating role in the relationship between CTPP and GTFP in the power industry, validating the existence of Porter effect in China's power industry carbon emission trading system. Third, there are heterogeneities in the policy effects across the pilot regions, with Beijing and Guangdong achieving outstanding results in improving GTFP compared to other carbon trading pilots. Finally, relevant policy recommendations are provided for carbon market development and improving GTFP in the power industry.","container-title":"Journal of Renewable and Sustainable Energy","DOI":"10.1063/5.0235309","ISSN":"1941-7012","issue":"1","language":"en","page":"015906","source":"DOI.org (Crossref)","title":"Impact of carbon emissions trading on green total factor productivity of China's power industry: A green technology innovation perspective","title-short":"Impact of carbon emissions trading on green total factor productivity of China's power industry","volume":"17","author":[{"family":"Xin-gang","given":"Zhao"},{"family":"Xi","given":"Xu"},{"family":"Shuran","given":"Hu"},{"family":"Haowei","given":"Chen"}],"issued":{"date-parts":[["2025",1,1]]}}}],"schema":"https://github.com/citation-style-language/schema/raw/master/csl-citation.json"} </w:instrText>
      </w:r>
      <w:r w:rsidRPr="00046F57">
        <w:rPr>
          <w:shd w:val="clear" w:color="auto" w:fill="FFFFFF"/>
        </w:rPr>
        <w:fldChar w:fldCharType="separate"/>
      </w:r>
      <w:r w:rsidRPr="00046F57">
        <w:t>(Sun et al., 2023b; Xin-gang et al., 2025a)</w:t>
      </w:r>
      <w:r w:rsidRPr="00046F57">
        <w:rPr>
          <w:shd w:val="clear" w:color="auto" w:fill="FFFFFF"/>
        </w:rPr>
        <w:fldChar w:fldCharType="end"/>
      </w:r>
      <w:r w:rsidRPr="00046F57">
        <w:rPr>
          <w:shd w:val="clear" w:color="auto" w:fill="FFFFFF"/>
        </w:rPr>
        <w:t xml:space="preserve"> and aligns with innovation-driven gains </w:t>
      </w:r>
      <w:r w:rsidRPr="00046F57">
        <w:rPr>
          <w:shd w:val="clear" w:color="auto" w:fill="FFFFFF"/>
        </w:rPr>
        <w:fldChar w:fldCharType="begin"/>
      </w:r>
      <w:r w:rsidRPr="00046F57">
        <w:rPr>
          <w:shd w:val="clear" w:color="auto" w:fill="FFFFFF"/>
        </w:rPr>
        <w:instrText xml:space="preserve"> ADDIN ZOTERO_ITEM CSL_CITATION {"citationID":"b5USfd1d","properties":{"formattedCitation":"(R. Chen et al., 2024; Q. Wu &amp; Wang, 2022)","plainCitation":"(R. Chen et al., 2024; Q. Wu &amp; Wang, 2022)","noteIndex":0},"citationItems":[{"id":752,"uris":["http://zotero.org/users/local/wH06Ygim/items/S2TFFMRQ"],"itemData":{"id":752,"type":"article-journal","container-title":"Energy Economics","DOI":"10.1016/j.eneco.2024.107376","ISSN":"01409883","journalAbbreviation":"Energy Economics","language":"en","page":"107376","source":"DOI.org (Crossref)","title":"The impact of ETS on productivity in developing economies: A micro-econometric evaluation with Chinese firm-level data","title-short":"The impact of ETS on productivity in developing economies","volume":"131","author":[{"family":"Chen","given":"Rushi"},{"family":"Howley","given":"Peter"},{"family":"Kesidou","given":"Effie"}],"issued":{"date-parts":[["2024",3]]}}},{"id":169,"uris":["http://zotero.org/users/local/wH06Ygim/items/J7CZ4I2J"],"itemData":{"id":169,"type":"article-journal","container-title":"Energy Economics","DOI":"10.1016/j.eneco.2022.105990","ISSN":"01409883","journalAbbreviation":"Energy Economics","language":"en","page":"105990","source":"DOI.org (Crossref)","title":"How does carbon emission price stimulate enterprises' total factor productivity? Insights from China's emission trading scheme pilots","title-short":"How does carbon emission price stimulate enterprises' total factor productivity?","volume":"109","author":[{"family":"Wu","given":"Qingyang"},{"family":"Wang","given":"Yanying"}],"issued":{"date-parts":[["2022",5]]}}}],"schema":"https://github.com/citation-style-language/schema/raw/master/csl-citation.json"} </w:instrText>
      </w:r>
      <w:r w:rsidRPr="00046F57">
        <w:rPr>
          <w:shd w:val="clear" w:color="auto" w:fill="FFFFFF"/>
        </w:rPr>
        <w:fldChar w:fldCharType="separate"/>
      </w:r>
      <w:r w:rsidRPr="00046F57">
        <w:t>(R. Chen et al., 2024; Q. Wu &amp; Wang, 2022)</w:t>
      </w:r>
      <w:r w:rsidRPr="00046F57">
        <w:rPr>
          <w:shd w:val="clear" w:color="auto" w:fill="FFFFFF"/>
        </w:rPr>
        <w:fldChar w:fldCharType="end"/>
      </w:r>
      <w:r w:rsidRPr="00046F57">
        <w:rPr>
          <w:shd w:val="clear" w:color="auto" w:fill="FFFFFF"/>
        </w:rPr>
        <w:t>. By examining industrial structure variations (e.g., 2.6% TFPGE increase in regions with less coal reliance vs. 1.46% in high coal-reliance regions), we contribute to the debate on carbon pricing’s “win-win” potential, though profitability impacts remain beyond this study’s scope.</w:t>
      </w:r>
    </w:p>
    <w:p w14:paraId="61359A55" w14:textId="21695FC1" w:rsidR="008061A3" w:rsidRPr="00046F57" w:rsidRDefault="008061A3" w:rsidP="008061A3">
      <w:pPr>
        <w:pStyle w:val="Newparagraph"/>
        <w:jc w:val="both"/>
        <w:rPr>
          <w:rFonts w:eastAsia="STIX-Regular"/>
          <w14:ligatures w14:val="standardContextual"/>
        </w:rPr>
      </w:pPr>
      <w:r w:rsidRPr="00046F57">
        <w:rPr>
          <w:b/>
          <w:bCs/>
          <w:i/>
          <w:iCs/>
          <w:shd w:val="clear" w:color="auto" w:fill="FFFFFF"/>
        </w:rPr>
        <w:lastRenderedPageBreak/>
        <w:t>Third</w:t>
      </w:r>
      <w:r w:rsidRPr="00046F57">
        <w:rPr>
          <w:shd w:val="clear" w:color="auto" w:fill="FFFFFF"/>
        </w:rPr>
        <w:t xml:space="preserve">, the study provides actionable policy insights by identifying mechanisms and contextual factors that enhance CETS’s effectiveness. It demonstrates that environmental resource commitment and clean combustion technology are key mediators of the CETS-TFPGE relationship, suggesting a clear pathway for policy interventions to enhance resource commitment towards environmental initiatives and promote technologies like ultra-supercritical systems. Additionally, the study’s focus on regional and structural heterogeneity—stronger TFPGE gains in regions with less coal dependency—offers a framework for tailoring CETS implementation, such as raising carbon price floors in high coal-reliance regions like the Central region to boost TFPGE. These strategies support sustainable energy transitions in China and other coal-dependent economies, addressing disparities in efficiency gains.        </w:t>
      </w:r>
    </w:p>
    <w:p w14:paraId="606EA51D" w14:textId="77777777" w:rsidR="008061A3" w:rsidRDefault="008061A3" w:rsidP="008061A3">
      <w:pPr>
        <w:autoSpaceDE w:val="0"/>
        <w:autoSpaceDN w:val="0"/>
        <w:adjustRightInd w:val="0"/>
        <w:jc w:val="both"/>
        <w:rPr>
          <w:rFonts w:eastAsia="STIX-Regular"/>
          <w14:ligatures w14:val="standardContextual"/>
        </w:rPr>
      </w:pPr>
      <w:r w:rsidRPr="00046F57">
        <w:rPr>
          <w:rFonts w:eastAsia="CMR12"/>
          <w14:ligatures w14:val="standardContextual"/>
        </w:rPr>
        <w:t xml:space="preserve">    The remainder of this paper is organized as follows: Section “</w:t>
      </w:r>
      <w:r w:rsidRPr="00046F57">
        <w:rPr>
          <w:rFonts w:eastAsia="CMR12"/>
          <w:b/>
          <w:bCs/>
          <w14:ligatures w14:val="standardContextual"/>
        </w:rPr>
        <w:t>Literature review</w:t>
      </w:r>
      <w:r w:rsidRPr="00046F57">
        <w:rPr>
          <w:rFonts w:eastAsia="CMR12"/>
          <w14:ligatures w14:val="standardContextual"/>
        </w:rPr>
        <w:t>” presents a literature review. Section “</w:t>
      </w:r>
      <w:r w:rsidRPr="00046F57">
        <w:rPr>
          <w:rFonts w:eastAsia="CMR12"/>
          <w:b/>
          <w:bCs/>
          <w14:ligatures w14:val="standardContextual"/>
        </w:rPr>
        <w:t>Data and Methodology</w:t>
      </w:r>
      <w:r w:rsidRPr="00046F57">
        <w:rPr>
          <w:rFonts w:eastAsia="CMR12"/>
          <w14:ligatures w14:val="standardContextual"/>
        </w:rPr>
        <w:t>” introduces the research methods and data sources.  Section “</w:t>
      </w:r>
      <w:r w:rsidRPr="00046F57">
        <w:rPr>
          <w:rFonts w:eastAsia="CMR12"/>
          <w:b/>
          <w:bCs/>
          <w14:ligatures w14:val="standardContextual"/>
        </w:rPr>
        <w:t>Analysis and Results</w:t>
      </w:r>
      <w:r w:rsidRPr="00046F57">
        <w:rPr>
          <w:rFonts w:eastAsia="CMR12"/>
          <w14:ligatures w14:val="standardContextual"/>
        </w:rPr>
        <w:t>” presents our main results. Section “</w:t>
      </w:r>
      <w:r w:rsidRPr="00046F57">
        <w:rPr>
          <w:rFonts w:eastAsia="CMR12"/>
          <w:b/>
          <w:bCs/>
          <w14:ligatures w14:val="standardContextual"/>
        </w:rPr>
        <w:t>Discussion</w:t>
      </w:r>
      <w:r w:rsidRPr="00046F57">
        <w:rPr>
          <w:rFonts w:eastAsia="CMR12"/>
          <w14:ligatures w14:val="standardContextual"/>
        </w:rPr>
        <w:t>” presents our discussion. Section “</w:t>
      </w:r>
      <w:r w:rsidRPr="00046F57">
        <w:rPr>
          <w:rFonts w:eastAsia="CMR12"/>
          <w:b/>
          <w:bCs/>
          <w14:ligatures w14:val="standardContextual"/>
        </w:rPr>
        <w:t>Conclusion and Policy Implications</w:t>
      </w:r>
      <w:r w:rsidRPr="00046F57">
        <w:rPr>
          <w:rFonts w:eastAsia="CMR12"/>
          <w14:ligatures w14:val="standardContextual"/>
        </w:rPr>
        <w:t xml:space="preserve">” and Section </w:t>
      </w:r>
      <w:r w:rsidRPr="00046F57">
        <w:rPr>
          <w:rFonts w:eastAsia="CMR12"/>
          <w:b/>
          <w:bCs/>
          <w14:ligatures w14:val="standardContextual"/>
        </w:rPr>
        <w:t>“Limitations and Future Directions”</w:t>
      </w:r>
      <w:r w:rsidRPr="00046F57">
        <w:rPr>
          <w:rFonts w:eastAsia="CMR12"/>
          <w14:ligatures w14:val="standardContextual"/>
        </w:rPr>
        <w:t xml:space="preserve"> </w:t>
      </w:r>
      <w:r w:rsidRPr="00046F57">
        <w:rPr>
          <w:rFonts w:eastAsia="STIX-Regular"/>
          <w14:ligatures w14:val="standardContextual"/>
        </w:rPr>
        <w:t>provide conclusions, policy implications, limitations, and future directions of this study.</w:t>
      </w:r>
    </w:p>
    <w:p w14:paraId="7BE7C8F8" w14:textId="77777777" w:rsidR="008061A3" w:rsidRPr="00046F57" w:rsidRDefault="008061A3" w:rsidP="008061A3">
      <w:pPr>
        <w:autoSpaceDE w:val="0"/>
        <w:autoSpaceDN w:val="0"/>
        <w:adjustRightInd w:val="0"/>
        <w:jc w:val="both"/>
        <w:rPr>
          <w:rFonts w:eastAsia="STIX-Regular"/>
          <w14:ligatures w14:val="standardContextual"/>
        </w:rPr>
      </w:pPr>
    </w:p>
    <w:p w14:paraId="48BFE704" w14:textId="6B9DF6B1" w:rsidR="008061A3" w:rsidRPr="008061A3" w:rsidRDefault="008061A3" w:rsidP="008061A3">
      <w:pPr>
        <w:pStyle w:val="Heading1"/>
        <w:rPr>
          <w:b/>
          <w:bCs/>
          <w:i w:val="0"/>
          <w:iCs w:val="0"/>
        </w:rPr>
      </w:pPr>
      <w:r w:rsidRPr="008061A3">
        <w:rPr>
          <w:b/>
          <w:bCs/>
          <w:i w:val="0"/>
          <w:iCs w:val="0"/>
        </w:rPr>
        <w:t>2. LITERATURE REVIEW</w:t>
      </w:r>
    </w:p>
    <w:p w14:paraId="534109B3" w14:textId="77777777" w:rsidR="00E12BAC" w:rsidRDefault="00E12BAC" w:rsidP="00E12BAC">
      <w:pPr>
        <w:spacing w:line="240" w:lineRule="auto"/>
      </w:pPr>
    </w:p>
    <w:p w14:paraId="190ADF19" w14:textId="77777777" w:rsidR="008061A3" w:rsidRPr="00867DD9" w:rsidRDefault="008061A3" w:rsidP="008061A3">
      <w:pPr>
        <w:pStyle w:val="Heading2"/>
      </w:pPr>
      <w:r w:rsidRPr="007F6C04">
        <w:t xml:space="preserve">2.1 </w:t>
      </w:r>
      <w:r>
        <w:t xml:space="preserve">Total Factor Power Generation Efficiency </w:t>
      </w:r>
    </w:p>
    <w:p w14:paraId="79CA0EEA" w14:textId="718EB7DD" w:rsidR="00C916FE" w:rsidRPr="00C916FE" w:rsidRDefault="008061A3" w:rsidP="00C916FE">
      <w:pPr>
        <w:spacing w:before="240"/>
        <w:jc w:val="both"/>
        <w:rPr>
          <w:color w:val="000000"/>
          <w:lang w:eastAsia="zh-CN"/>
        </w:rPr>
      </w:pPr>
      <w:r w:rsidRPr="0031513B">
        <w:rPr>
          <w:sz w:val="20"/>
          <w:szCs w:val="20"/>
          <w:shd w:val="clear" w:color="auto" w:fill="FFFFFF"/>
        </w:rPr>
        <w:t xml:space="preserve">   </w:t>
      </w:r>
      <w:r w:rsidR="00C916FE" w:rsidRPr="00C916FE">
        <w:rPr>
          <w:color w:val="000000"/>
          <w:lang w:eastAsia="zh-CN"/>
        </w:rPr>
        <w:t xml:space="preserve">Eco-efficient power generation is vital for energy conservation, emission reduction, and sustainability </w:t>
      </w:r>
      <w:r w:rsidR="00C916FE" w:rsidRPr="00C916FE">
        <w:fldChar w:fldCharType="begin"/>
      </w:r>
      <w:r w:rsidR="00C916FE" w:rsidRPr="00C916FE">
        <w:instrText xml:space="preserve"> ADDIN ZOTERO_ITEM CSL_CITATION {"citationID":"MNzEcEyO","properties":{"formattedCitation":"(X. Wang et al., 2022)","plainCitation":"(X. Wang et al., 2022)","noteIndex":0},"citationItems":[{"id":788,"uris":["http://zotero.org/users/local/wH06Ygim/items/V38EBP22"],"itemData":{"id":788,"type":"article-journal","abstract":"Undoubtedly, green total factor energy efficiency plays a pivotal role in achieving energy conservation, emission reduction, and green development goals. China mainly used command-based environmental regulation tools to enhance the green total factor energy efficiency in the early stage. Later, under the new trend of market-oriented reform, the Chinese government introduced market-oriented environmental regulation tools such as carbon rights. However, the effectiveness of market-oriented environmental regulation tools is still unclear. Therefore, this study investigates the impact of market-oriented environmental regulation tools on green total factor energy efficiency by using the data of 265 cities in China. For this purpose, yearly data from 2003 to 2017 are employed using the difference-in-difference method. The empirical results unveil that the emission trading system can significantly improve green all factor energy efficiency. In addition, the heterogeneity analysis shows that the emission trading system is conducive to improving energy efficiency in resource-based cities. Based on the results, this study provides policy enlightenment for market-oriented environmental regulation tools to promote green development according to the local conditions.","container-title":"Frontiers in Environmental Science","DOI":"10.3389/fenvs.2022.906921","ISSN":"2296-665X","journalAbbreviation":"Front. Environ. Sci.","page":"906921","source":"DOI.org (Crossref)","title":"Can Market-Oriented Environmental Regulation Tools Improve Green Total Factor Energy Efficiency? Analyzing the Emission Trading System","title-short":"Can Market-Oriented Environmental Regulation Tools Improve Green Total Factor Energy Efficiency?","volume":"10","author":[{"family":"Wang","given":"Xingshuai"},{"family":"Tang","given":"Shida"},{"family":"Ahmad","given":"Mahmood"},{"family":"Bai","given":"Yang"}],"issued":{"date-parts":[["2022",5,10]]}}}],"schema":"https://github.com/citation-style-language/schema/raw/master/csl-citation.json"} </w:instrText>
      </w:r>
      <w:r w:rsidR="00C916FE" w:rsidRPr="00C916FE">
        <w:fldChar w:fldCharType="separate"/>
      </w:r>
      <w:r w:rsidR="00C916FE" w:rsidRPr="00C916FE">
        <w:t>(X. Wang et al., 2022)</w:t>
      </w:r>
      <w:r w:rsidR="00C916FE" w:rsidRPr="00C916FE">
        <w:fldChar w:fldCharType="end"/>
      </w:r>
      <w:r w:rsidR="00C916FE" w:rsidRPr="00C916FE">
        <w:rPr>
          <w:color w:val="000000"/>
          <w:lang w:eastAsia="zh-CN"/>
        </w:rPr>
        <w:t xml:space="preserve">. Ignoring greenhouse gas constraints misaligns with China’s “carbon peak” goals in thermal power </w:t>
      </w:r>
      <w:r w:rsidR="00C916FE" w:rsidRPr="00C916FE">
        <w:rPr>
          <w:shd w:val="clear" w:color="auto" w:fill="FFFFFF"/>
        </w:rPr>
        <w:fldChar w:fldCharType="begin"/>
      </w:r>
      <w:r w:rsidR="00C916FE" w:rsidRPr="00C916FE">
        <w:rPr>
          <w:shd w:val="clear" w:color="auto" w:fill="FFFFFF"/>
        </w:rPr>
        <w:instrText xml:space="preserve"> ADDIN ZOTERO_ITEM CSL_CITATION {"citationID":"alVzUiah","properties":{"formattedCitation":"(Jiang et al., 2024)","plainCitation":"(Jiang et al., 2024)","noteIndex":0},"citationItems":[{"id":796,"uris":["http://zotero.org/users/local/wH06Ygim/items/KNQ9F5W8"],"itemData":{"id":796,"type":"article-journal","abstract":"Abstract\n            Transition towards low‐carbon and carbon‐neutral society requires multiple technological solutions. Thermal power generation is the main source of power generation in China and contributes to a large portion of carbon emission. Under the goal of “carbon peak”, thermal power generation efficiency will become an important factor affecting industrial development. Based on the directional distance function, this article assumes energy used as inputs and power generation as an output. Then, energy‐oriented and energy‐generation oriented power generation efficiency analysis models are proposed. The carbon emission is treated as an undesirable output to analyze the regional power generation efficiency with and without industrial transfer. The application focuses on panel data of three regions in China over the period 2013–2017, accounting for three energy inputs: solid, oil and gaseous fuel. The results show that in regard to the factors improving power generation efficiency, pure efficiency and scale efficiency change is positive for the eastern and central regions, while pure technical efficiency change is positive for the western region. By further analyzing the power generation potential, the results also show that the eastern region exhibits potential savings in gaseous fuel, the central region has potential in three fuels, but all not prominent, and the western region has potential in solid and oil fuels. Accordingly, the article puts forward policy recommendations from the perspective of technological innovation, differentiated development, and collaborative communication.","container-title":"Sustainable Development","DOI":"10.1002/sd.2815","ISSN":"0968-0802, 1099-1719","issue":"4","journalAbbreviation":"Sustainable Development","language":"en","page":"2944-2961","source":"DOI.org (Crossref)","title":"Towards carbon‐neutral society: Reconciling peak carbon strategy and thermal power generation via regional eco‐efficiency analysis","title-short":"Towards carbon‐neutral society","volume":"32","author":[{"family":"Jiang","given":"Nanyue"},{"family":"Zhang","given":"Chonghui"},{"family":"Su","given":"Weihua"},{"family":"Jin","given":"Huanhuan"},{"family":"Balezentis","given":"Tomas"}],"issued":{"date-parts":[["2024",8]]}}}],"schema":"https://github.com/citation-style-language/schema/raw/master/csl-citation.json"} </w:instrText>
      </w:r>
      <w:r w:rsidR="00C916FE" w:rsidRPr="00C916FE">
        <w:rPr>
          <w:shd w:val="clear" w:color="auto" w:fill="FFFFFF"/>
        </w:rPr>
        <w:fldChar w:fldCharType="separate"/>
      </w:r>
      <w:r w:rsidR="00C916FE" w:rsidRPr="00C916FE">
        <w:t>(Jiang et al., 2024)</w:t>
      </w:r>
      <w:r w:rsidR="00C916FE" w:rsidRPr="00C916FE">
        <w:rPr>
          <w:shd w:val="clear" w:color="auto" w:fill="FFFFFF"/>
        </w:rPr>
        <w:fldChar w:fldCharType="end"/>
      </w:r>
      <w:r w:rsidR="00C916FE" w:rsidRPr="00C916FE">
        <w:rPr>
          <w:color w:val="000000"/>
          <w:lang w:eastAsia="zh-CN"/>
        </w:rPr>
        <w:t xml:space="preserve">. Researchers now include undesirable outputs like CO2 in efficiency assessments to balance economic and environmental goals </w:t>
      </w:r>
      <w:r w:rsidR="00C916FE" w:rsidRPr="00C916FE">
        <w:rPr>
          <w:shd w:val="clear" w:color="auto" w:fill="FFFFFF"/>
        </w:rPr>
        <w:fldChar w:fldCharType="begin"/>
      </w:r>
      <w:r w:rsidR="00C916FE" w:rsidRPr="00C916FE">
        <w:rPr>
          <w:shd w:val="clear" w:color="auto" w:fill="FFFFFF"/>
        </w:rPr>
        <w:instrText xml:space="preserve"> ADDIN ZOTERO_ITEM CSL_CITATION {"citationID":"pyYVjfCe","properties":{"formattedCitation":"(Fang et al., 2022; Jiang et al., 2024; Thakare &amp; Daspute, 2024)","plainCitation":"(Fang et al., 2022; Jiang et al., 2024; Thakare &amp; Daspute, 2024)","noteIndex":0},"citationItems":[{"id":722,"uris":["http://zotero.org/users/local/wH06Ygim/items/NK7LQCWR"],"itemData":{"id":722,"type":"article-journal","container-title":"Energy Policy","DOI":"10.1016/j.enpol.2022.112955","ISSN":"03014215","journalAbbreviation":"Energy Policy","language":"en","page":"112955","source":"DOI.org (Crossref)","title":"Carbon emission efficiency of thermal power generation in China: Empirical evidence from the micro-perspective of power plants","title-short":"Carbon emission efficiency of thermal power generation in China","volume":"165","author":[{"family":"Fang","given":"Tao"},{"family":"Fang","given":"Debin"},{"family":"Yu","given":"Bolin"}],"issued":{"date-parts":[["2022",6]]}}},{"id":796,"uris":["http://zotero.org/users/local/wH06Ygim/items/KNQ9F5W8"],"itemData":{"id":796,"type":"article-journal","abstract":"Abstract\n            Transition towards low‐carbon and carbon‐neutral society requires multiple technological solutions. Thermal power generation is the main source of power generation in China and contributes to a large portion of carbon emission. Under the goal of “carbon peak”, thermal power generation efficiency will become an important factor affecting industrial development. Based on the directional distance function, this article assumes energy used as inputs and power generation as an output. Then, energy‐oriented and energy‐generation oriented power generation efficiency analysis models are proposed. The carbon emission is treated as an undesirable output to analyze the regional power generation efficiency with and without industrial transfer. The application focuses on panel data of three regions in China over the period 2013–2017, accounting for three energy inputs: solid, oil and gaseous fuel. The results show that in regard to the factors improving power generation efficiency, pure efficiency and scale efficiency change is positive for the eastern and central regions, while pure technical efficiency change is positive for the western region. By further analyzing the power generation potential, the results also show that the eastern region exhibits potential savings in gaseous fuel, the central region has potential in three fuels, but all not prominent, and the western region has potential in solid and oil fuels. Accordingly, the article puts forward policy recommendations from the perspective of technological innovation, differentiated development, and collaborative communication.","container-title":"Sustainable Development","DOI":"10.1002/sd.2815","ISSN":"0968-0802, 1099-1719","issue":"4","journalAbbreviation":"Sustainable Development","language":"en","page":"2944-2961","source":"DOI.org (Crossref)","title":"Towards carbon‐neutral society: Reconciling peak carbon strategy and thermal power generation via regional eco‐efficiency analysis","title-short":"Towards carbon‐neutral society","volume":"32","author":[{"family":"Jiang","given":"Nanyue"},{"family":"Zhang","given":"Chonghui"},{"family":"Su","given":"Weihua"},{"family":"Jin","given":"Huanhuan"},{"family":"Balezentis","given":"Tomas"}],"issued":{"date-parts":[["2024",8]]}}},{"id":780,"uris":["http://zotero.org/users/local/wH06Ygim/items/DIWU53SX"],"itemData":{"id":780,"type":"article-journal","container-title":"Energy","DOI":"10.1016/j.energy.2024.131661","ISSN":"03605442","journalAbbreviation":"Energy","language":"en","page":"131661","source":"DOI.org (Crossref)","title":"Enhancing energy conservation in power generation in a coal fired thermal power plant through comprehensive energy audit","volume":"301","author":[{"family":"Thakare","given":"Hitesh R."},{"family":"Daspute","given":"Pramod"}],"issued":{"date-parts":[["2024",8]]}}}],"schema":"https://github.com/citation-style-language/schema/raw/master/csl-citation.json"} </w:instrText>
      </w:r>
      <w:r w:rsidR="00C916FE" w:rsidRPr="00C916FE">
        <w:rPr>
          <w:shd w:val="clear" w:color="auto" w:fill="FFFFFF"/>
        </w:rPr>
        <w:fldChar w:fldCharType="separate"/>
      </w:r>
      <w:r w:rsidR="00C916FE" w:rsidRPr="00C916FE">
        <w:t xml:space="preserve">(Fang et </w:t>
      </w:r>
      <w:r w:rsidR="00C916FE" w:rsidRPr="00C916FE">
        <w:lastRenderedPageBreak/>
        <w:t xml:space="preserve">al., 2022; Jiang et al., 2024; Thakare &amp; </w:t>
      </w:r>
      <w:proofErr w:type="spellStart"/>
      <w:r w:rsidR="00C916FE" w:rsidRPr="00C916FE">
        <w:t>Daspute</w:t>
      </w:r>
      <w:proofErr w:type="spellEnd"/>
      <w:r w:rsidR="00C916FE" w:rsidRPr="00C916FE">
        <w:t>, 2024)</w:t>
      </w:r>
      <w:r w:rsidR="00C916FE" w:rsidRPr="00C916FE">
        <w:rPr>
          <w:shd w:val="clear" w:color="auto" w:fill="FFFFFF"/>
        </w:rPr>
        <w:fldChar w:fldCharType="end"/>
      </w:r>
      <w:r w:rsidR="00C916FE" w:rsidRPr="00C916FE">
        <w:rPr>
          <w:color w:val="000000"/>
          <w:lang w:eastAsia="zh-CN"/>
        </w:rPr>
        <w:t xml:space="preserve">. Data Envelopment Analysis (DEA), a nonparametric method, is widely used to measure power generation efficiency </w:t>
      </w:r>
      <w:r w:rsidR="00C916FE" w:rsidRPr="00C916FE">
        <w:rPr>
          <w:shd w:val="clear" w:color="auto" w:fill="FFFFFF"/>
        </w:rPr>
        <w:fldChar w:fldCharType="begin"/>
      </w:r>
      <w:r w:rsidR="00C916FE" w:rsidRPr="00C916FE">
        <w:rPr>
          <w:shd w:val="clear" w:color="auto" w:fill="FFFFFF"/>
        </w:rPr>
        <w:instrText xml:space="preserve"> ADDIN ZOTERO_ITEM CSL_CITATION {"citationID":"cga2CEqm","properties":{"formattedCitation":"(M. Meng &amp; Pang, 2023; Yadava et al., 2025)","plainCitation":"(M. Meng &amp; Pang, 2023; Yadava et al., 2025)","noteIndex":0},"citationItems":[{"id":504,"uris":["http://zotero.org/users/local/wH06Ygim/items/4SUPPJ5U"],"itemData":{"id":504,"type":"article-journal","abstract":"Abstract\n            Thermal power is the main source of China's electricity supply. Improving total‐factor generation performance (TFGP) is essential for the development of this industry in the current deteriorating operating environment. This study adopts the meta‐frontier nonradial direction distance function approach to measure the static and dynamic TFGPs of the thermal power industry in China's 30 provinces in 2011–2019, and then discusses the regional distribution characteristics and the impact factors using spatial econometric model and Tobit regression method, respectively. Empirical results show that: (I) The TFGPs in central and west China are relatively close, but both are remarkably lower than that in east China. (II) The TFGPs in central and west China have generally remained stable since 2011, whereas that in west China has declined mainly because this region is more susceptible to the situation of electricity supply‐demand. (III) A significant spatial positive correlation exists among provincial TFGPs. High TFGP provinces are mostly in the eastern seaboard region and low TFGP provinces are in southwest China. (IV) Economic development, power structure, fuel prices, and environmental regulation have positive impacts on China's TFGP, while the impacts of technological innovation and energy endowment are not significant.","container-title":"Energy Science &amp; Engineering","DOI":"10.1002/ese3.1468","ISSN":"2050-0505, 2050-0505","issue":"7","journalAbbreviation":"Energy Science &amp; Engineering","language":"en","page":"2668-2685","source":"DOI.org (Crossref)","title":"Total‐factor generation performance analysis of China's thermal power industry using meta‐frontier nonradial distance function approach","volume":"11","author":[{"family":"Meng","given":"Ming"},{"family":"Pang","given":"Tingting"}],"issued":{"date-parts":[["2023",7]]}}},{"id":763,"uris":["http://zotero.org/users/local/wH06Ygim/items/UIGAB27H"],"itemData":{"id":763,"type":"article-journal","container-title":"Energy Economics","DOI":"10.1016/j.eneco.2025.108396","ISSN":"01409883","journalAbbreviation":"Energy Economics","language":"en","page":"108396","source":"DOI.org (Crossref)","title":"Benchmarking the performance of Indian electricity distribution companies: The applications of multi-stage robust DEA and SFA models","title-short":"Benchmarking the performance of Indian electricity distribution companies","author":[{"family":"Yadava","given":"Anup Kumar"},{"family":"Chakraborty","given":"Soumyajit"},{"family":"Gupta","given":"Sonal"}],"issued":{"date-parts":[["2025",3]]}}}],"schema":"https://github.com/citation-style-language/schema/raw/master/csl-citation.json"} </w:instrText>
      </w:r>
      <w:r w:rsidR="00C916FE" w:rsidRPr="00C916FE">
        <w:rPr>
          <w:shd w:val="clear" w:color="auto" w:fill="FFFFFF"/>
        </w:rPr>
        <w:fldChar w:fldCharType="separate"/>
      </w:r>
      <w:r w:rsidR="00C916FE" w:rsidRPr="00C916FE">
        <w:t>(M. Meng &amp; Pang, 2023; Yadava et al., 2025)</w:t>
      </w:r>
      <w:r w:rsidR="00C916FE" w:rsidRPr="00C916FE">
        <w:rPr>
          <w:shd w:val="clear" w:color="auto" w:fill="FFFFFF"/>
        </w:rPr>
        <w:fldChar w:fldCharType="end"/>
      </w:r>
      <w:r w:rsidR="00C916FE" w:rsidRPr="00C916FE">
        <w:rPr>
          <w:color w:val="000000"/>
          <w:lang w:eastAsia="zh-CN"/>
        </w:rPr>
        <w:t>.</w:t>
      </w:r>
    </w:p>
    <w:p w14:paraId="2CF595D4" w14:textId="797483F8" w:rsidR="00C916FE" w:rsidRPr="00C916FE" w:rsidRDefault="00C916FE" w:rsidP="00C916FE">
      <w:pPr>
        <w:spacing w:before="240"/>
        <w:jc w:val="both"/>
        <w:rPr>
          <w:color w:val="000000"/>
          <w:lang w:eastAsia="zh-CN"/>
        </w:rPr>
      </w:pPr>
      <w:r w:rsidRPr="00C916FE">
        <w:rPr>
          <w:color w:val="000000"/>
          <w:lang w:eastAsia="zh-CN"/>
        </w:rPr>
        <w:t xml:space="preserve">          </w:t>
      </w:r>
      <w:r w:rsidRPr="00C916FE">
        <w:rPr>
          <w:color w:val="000000"/>
          <w:lang w:eastAsia="zh-CN"/>
        </w:rPr>
        <w:t xml:space="preserve">Early studies measured generation efficiency via standard coal consumption per kWh, reflecting technological and managerial levels but ignoring non-energy inputs like labor and capital </w:t>
      </w:r>
      <w:r w:rsidRPr="00C916FE">
        <w:rPr>
          <w:shd w:val="clear" w:color="auto" w:fill="FFFFFF"/>
        </w:rPr>
        <w:fldChar w:fldCharType="begin"/>
      </w:r>
      <w:r w:rsidRPr="00C916FE">
        <w:rPr>
          <w:shd w:val="clear" w:color="auto" w:fill="FFFFFF"/>
        </w:rPr>
        <w:instrText xml:space="preserve"> ADDIN ZOTERO_ITEM CSL_CITATION {"citationID":"lgA8DgOS","properties":{"formattedCitation":"(M. Meng &amp; Pang, 2023)","plainCitation":"(M. Meng &amp; Pang, 2023)","noteIndex":0},"citationItems":[{"id":504,"uris":["http://zotero.org/users/local/wH06Ygim/items/4SUPPJ5U"],"itemData":{"id":504,"type":"article-journal","abstract":"Abstract\n            Thermal power is the main source of China's electricity supply. Improving total‐factor generation performance (TFGP) is essential for the development of this industry in the current deteriorating operating environment. This study adopts the meta‐frontier nonradial direction distance function approach to measure the static and dynamic TFGPs of the thermal power industry in China's 30 provinces in 2011–2019, and then discusses the regional distribution characteristics and the impact factors using spatial econometric model and Tobit regression method, respectively. Empirical results show that: (I) The TFGPs in central and west China are relatively close, but both are remarkably lower than that in east China. (II) The TFGPs in central and west China have generally remained stable since 2011, whereas that in west China has declined mainly because this region is more susceptible to the situation of electricity supply‐demand. (III) A significant spatial positive correlation exists among provincial TFGPs. High TFGP provinces are mostly in the eastern seaboard region and low TFGP provinces are in southwest China. (IV) Economic development, power structure, fuel prices, and environmental regulation have positive impacts on China's TFGP, while the impacts of technological innovation and energy endowment are not significant.","container-title":"Energy Science &amp; Engineering","DOI":"10.1002/ese3.1468","ISSN":"2050-0505, 2050-0505","issue":"7","journalAbbreviation":"Energy Science &amp; Engineering","language":"en","page":"2668-2685","source":"DOI.org (Crossref)","title":"Total‐factor generation performance analysis of China's thermal power industry using meta‐frontier nonradial distance function approach","volume":"11","author":[{"family":"Meng","given":"Ming"},{"family":"Pang","given":"Tingting"}],"issued":{"date-parts":[["2023",7]]}}}],"schema":"https://github.com/citation-style-language/schema/raw/master/csl-citation.json"} </w:instrText>
      </w:r>
      <w:r w:rsidRPr="00C916FE">
        <w:rPr>
          <w:shd w:val="clear" w:color="auto" w:fill="FFFFFF"/>
        </w:rPr>
        <w:fldChar w:fldCharType="separate"/>
      </w:r>
      <w:r w:rsidRPr="00C916FE">
        <w:t>(M. Meng &amp; Pang, 2023)</w:t>
      </w:r>
      <w:r w:rsidRPr="00C916FE">
        <w:rPr>
          <w:shd w:val="clear" w:color="auto" w:fill="FFFFFF"/>
        </w:rPr>
        <w:fldChar w:fldCharType="end"/>
      </w:r>
      <w:r w:rsidRPr="00C916FE">
        <w:rPr>
          <w:color w:val="000000"/>
          <w:lang w:eastAsia="zh-CN"/>
        </w:rPr>
        <w:t>. Total Factor Power Generation Efficiency (TFPGE) emerged to comprehensively assess efficiency, incorporating multiple inputs and outputs.</w:t>
      </w:r>
      <w:r w:rsidRPr="00C916FE">
        <w:rPr>
          <w:color w:val="000000"/>
          <w:lang w:eastAsia="zh-CN"/>
        </w:rPr>
        <w:t xml:space="preserve"> </w:t>
      </w:r>
      <w:r w:rsidRPr="00C916FE">
        <w:rPr>
          <w:color w:val="000000"/>
          <w:lang w:eastAsia="zh-CN"/>
        </w:rPr>
        <w:t xml:space="preserve">Studies like </w:t>
      </w:r>
      <w:r w:rsidRPr="00C916FE">
        <w:rPr>
          <w:shd w:val="clear" w:color="auto" w:fill="FFFFFF"/>
        </w:rPr>
        <w:fldChar w:fldCharType="begin"/>
      </w:r>
      <w:r w:rsidRPr="00C916FE">
        <w:rPr>
          <w:shd w:val="clear" w:color="auto" w:fill="FFFFFF"/>
        </w:rPr>
        <w:instrText xml:space="preserve"> ADDIN ZOTERO_ITEM CSL_CITATION {"citationID":"7NhfysLF","properties":{"formattedCitation":"(J. Wang &amp; Wang, 2023)","plainCitation":"(J. Wang &amp; Wang, 2023)","noteIndex":0},"citationItems":[{"id":767,"uris":["http://zotero.org/users/local/wH06Ygim/items/7CVNJQWN"],"itemData":{"id":767,"type":"article-journal","container-title":"Energy Policy","DOI":"10.1016/j.enpol.2023.113722","ISSN":"03014215","journalAbbreviation":"Energy Policy","language":"en","page":"113722","source":"DOI.org (Crossref)","title":"The effect of electricity market reform on energy efficiency in China","volume":"181","author":[{"family":"Wang","given":"Jiexin"},{"family":"Wang","given":"Song"}],"issued":{"date-parts":[["2023",10]]}}}],"schema":"https://github.com/citation-style-language/schema/raw/master/csl-citation.json"} </w:instrText>
      </w:r>
      <w:r w:rsidRPr="00C916FE">
        <w:rPr>
          <w:shd w:val="clear" w:color="auto" w:fill="FFFFFF"/>
        </w:rPr>
        <w:fldChar w:fldCharType="separate"/>
      </w:r>
      <w:r w:rsidRPr="00C916FE">
        <w:t>(J. Wang &amp; Wang, 2023)</w:t>
      </w:r>
      <w:r w:rsidRPr="00C916FE">
        <w:rPr>
          <w:shd w:val="clear" w:color="auto" w:fill="FFFFFF"/>
        </w:rPr>
        <w:fldChar w:fldCharType="end"/>
      </w:r>
      <w:r w:rsidRPr="00C916FE">
        <w:rPr>
          <w:color w:val="000000"/>
          <w:lang w:eastAsia="zh-CN"/>
        </w:rPr>
        <w:t xml:space="preserve"> used super-efficiency SBM-DEA to evaluate electricity market reforms’ impact on energy efficiency across 30 provinces (2010–2019), while </w:t>
      </w:r>
      <w:r w:rsidRPr="00C916FE">
        <w:rPr>
          <w:rFonts w:eastAsia="STIX-Regular"/>
          <w14:ligatures w14:val="standardContextual"/>
        </w:rPr>
        <w:fldChar w:fldCharType="begin"/>
      </w:r>
      <w:r w:rsidRPr="00C916FE">
        <w:rPr>
          <w:rFonts w:eastAsia="STIX-Regular"/>
          <w14:ligatures w14:val="standardContextual"/>
        </w:rPr>
        <w:instrText xml:space="preserve"> ADDIN ZOTERO_ITEM CSL_CITATION {"citationID":"qdtYP3cI","properties":{"formattedCitation":"(Nakaishi et al., 2021)","plainCitation":"(Nakaishi et al., 2021)","noteIndex":0},"citationItems":[{"id":719,"uris":["http://zotero.org/users/local/wH06Ygim/items/FPNPGIHN"],"itemData":{"id":719,"type":"article-journal","container-title":"Energy Economics","DOI":"10.1016/j.eneco.2021.105511","ISSN":"01409883","journalAbbreviation":"Energy Economics","language":"en","page":"105511","source":"DOI.org (Crossref)","title":"Environmental efficiency analysis of China's coal-fired power plants considering heterogeneity in power generation company groups","volume":"102","author":[{"family":"Nakaishi","given":"Tomoaki"},{"family":"Takayabu","given":"Hirotaka"},{"family":"Eguchi","given":"Shogo"}],"issued":{"date-parts":[["2021",10]]}}}],"schema":"https://github.com/citation-style-language/schema/raw/master/csl-citation.json"} </w:instrText>
      </w:r>
      <w:r w:rsidRPr="00C916FE">
        <w:rPr>
          <w:rFonts w:eastAsia="STIX-Regular"/>
          <w14:ligatures w14:val="standardContextual"/>
        </w:rPr>
        <w:fldChar w:fldCharType="separate"/>
      </w:r>
      <w:r w:rsidRPr="00C916FE">
        <w:rPr>
          <w:rFonts w:eastAsia="STIX-Regular"/>
        </w:rPr>
        <w:t>(</w:t>
      </w:r>
      <w:proofErr w:type="spellStart"/>
      <w:r w:rsidRPr="00C916FE">
        <w:rPr>
          <w:rFonts w:eastAsia="STIX-Regular"/>
        </w:rPr>
        <w:t>Nakaishi</w:t>
      </w:r>
      <w:proofErr w:type="spellEnd"/>
      <w:r w:rsidRPr="00C916FE">
        <w:rPr>
          <w:rFonts w:eastAsia="STIX-Regular"/>
        </w:rPr>
        <w:t xml:space="preserve"> et al., 2021)</w:t>
      </w:r>
      <w:r w:rsidRPr="00C916FE">
        <w:rPr>
          <w:rFonts w:eastAsia="STIX-Regular"/>
          <w14:ligatures w14:val="standardContextual"/>
        </w:rPr>
        <w:fldChar w:fldCharType="end"/>
      </w:r>
      <w:r w:rsidRPr="00C916FE">
        <w:rPr>
          <w:color w:val="000000"/>
          <w:lang w:eastAsia="zh-CN"/>
        </w:rPr>
        <w:t xml:space="preserve"> assessed 104 coal plants’ environmental efficiency in 2010. </w:t>
      </w:r>
      <w:r w:rsidRPr="00C916FE">
        <w:fldChar w:fldCharType="begin"/>
      </w:r>
      <w:r w:rsidRPr="00C916FE">
        <w:instrText xml:space="preserve"> ADDIN ZOTERO_ITEM CSL_CITATION {"citationID":"BZYGztp5","properties":{"formattedCitation":"(Tang et al., 2023)","plainCitation":"(Tang et al., 2023)","noteIndex":0},"citationItems":[{"id":774,"uris":["http://zotero.org/users/local/wH06Ygim/items/3RW25MJD"],"itemData":{"id":774,"type":"article-journal","container-title":"Energy Policy","DOI":"10.1016/j.enpol.2022.113412","ISSN":"03014215","journalAbbreviation":"Energy Policy","language":"en","page":"113412","source":"DOI.org (Crossref)","title":"Ultra-low emission standards and corporate production performance: Evidence from Chinese thermal power companies","title-short":"Ultra-low emission standards and corporate production performance","volume":"173","author":[{"family":"Tang","given":"Chang"},{"family":"Qi","given":"Yu"},{"family":"Khan","given":"Naqib Ullah"},{"family":"Tang","given":"Ruwei"},{"family":"Xue","given":"Yan"}],"issued":{"date-parts":[["2023",2]]}}}],"schema":"https://github.com/citation-style-language/schema/raw/master/csl-citation.json"} </w:instrText>
      </w:r>
      <w:r w:rsidRPr="00C916FE">
        <w:fldChar w:fldCharType="separate"/>
      </w:r>
      <w:r w:rsidRPr="00C916FE">
        <w:t>(Tang et al., 2023)</w:t>
      </w:r>
      <w:r w:rsidRPr="00C916FE">
        <w:fldChar w:fldCharType="end"/>
      </w:r>
      <w:r w:rsidRPr="00C916FE">
        <w:rPr>
          <w:color w:val="000000"/>
          <w:lang w:eastAsia="zh-CN"/>
        </w:rPr>
        <w:t xml:space="preserve"> analyzed ultra-low emission standards’ effects on thermal power productivity (2010–2018). These highlight socioeconomic and environmental influences on operations, though fixed inputs like capital limit short-term policy impacts </w:t>
      </w:r>
      <w:r w:rsidRPr="00C916FE">
        <w:rPr>
          <w:shd w:val="clear" w:color="auto" w:fill="FFFFFF"/>
        </w:rPr>
        <w:fldChar w:fldCharType="begin"/>
      </w:r>
      <w:r w:rsidRPr="00C916FE">
        <w:rPr>
          <w:shd w:val="clear" w:color="auto" w:fill="FFFFFF"/>
        </w:rPr>
        <w:instrText xml:space="preserve"> ADDIN ZOTERO_ITEM CSL_CITATION {"citationID":"l3HTryuh","properties":{"formattedCitation":"(Feng et al., 2022; M. Meng et al., 2023; Q. Wu et al., 2023)","plainCitation":"(Feng et al., 2022; M. Meng et al., 2023; Q. Wu et al., 2023)","noteIndex":0},"citationItems":[{"id":798,"uris":["http://zotero.org/users/local/wH06Ygim/items/AS4EC7IQ"],"itemData":{"id":798,"type":"article-journal","abstract":"Coal-based thermal power generation has long been the main source of power generation in the mainland of China. The efficiency of power generation is an important factor that determines the energy conservation and emission reduction as well as the sustainable development of the power industry in China. By comparing the regional differences of 30 provinces in the mainland from 2013 to 2017, this study uses the Super-DDF model and the TFEE to comprehensively evaluate the energy efficiency of thermal power generation. Empirical results: Overall efficiency: eastern efficiency (1.181) is the highest, followed by western (0.956), central (0.951) and northeastern (0.926). Total factor energy efficiency: eastern efficiency (0.923) is the highest, followed by western (0.754), central (0.742) and northeastern (0.710). The government and power industry managers should fully consider the regional differences in the field of thermal power generation when formulating policies so as to improve the power efficiency and promote the green development of power industry in China. Based on the analysis results, although the coal-fired power industry is more mature than other alternative energy industries, the expansion of thermal power generation cannot be considered if CO2 emissions are to be reduced. Additionally, the market share and competitiveness of the local power industry can be increased based on the different conditions of the resource endowments of each region.","container-title":"Sustainability","DOI":"10.3390/su14010504","ISSN":"2071-1050","issue":"1","journalAbbreviation":"Sustainability","language":"en","license":"https://creativecommons.org/licenses/by/4.0/","page":"504","source":"DOI.org (Crossref)","title":"Total Factor Energy Efficiency of China’s Thermal Power Industry","volume":"14","author":[{"family":"Feng","given":"Ying"},{"family":"Lu","given":"Ching-Cheng"},{"family":"Lin","given":"I-Fang"},{"family":"Yang","given":"An-Chi"},{"family":"Lin","given":"Po-Chun"}],"issued":{"date-parts":[["2022",1,4]]}}},{"id":552,"uris":["http://zotero.org/users/local/wH06Ygim/items/VATM3Z5C"],"itemData":{"id":552,"type":"article-journal","container-title":"Energy Reports","DOI":"10.1016/j.egyr.2023.04.050","ISSN":"23524847","journalAbbreviation":"Energy Reports","language":"en","page":"5196-5205","source":"DOI.org (Crossref)","title":"Assessing the total factor productivity of China’s thermal power industry using a network DEA approach with cross-efficiency","volume":"9","author":[{"family":"Meng","given":"Ming"},{"family":"Pang","given":"Tingting"},{"family":"Li","given":"Xinxin"}],"issued":{"date-parts":[["2023",12]]}}},{"id":383,"uris":["http://zotero.org/users/local/wH06Ygim/items/NXKM3GBH"],"itemData":{"id":383,"type":"article-journal","container-title":"Energy Policy","DOI":"10.1016/j.enpol.2023.113524","ISSN":"03014215","journalAbbreviation":"Energy Policy","language":"en","page":"113524","source":"DOI.org (Crossref)","title":"How carbon emission prices accelerate net zero: Evidence from China's coal-fired power plants","title-short":"How carbon emission prices accelerate net zero","volume":"177","author":[{"family":"Wu","given":"Qingyang"},{"family":"Tan","given":"Chang"},{"family":"Wang","given":"Daoping"},{"family":"Wu","given":"Yongtao"},{"family":"Meng","given":"Jing"},{"family":"Zheng","given":"Heran"}],"issued":{"date-parts":[["2023",6]]}}}],"schema":"https://github.com/citation-style-language/schema/raw/master/csl-citation.json"} </w:instrText>
      </w:r>
      <w:r w:rsidRPr="00C916FE">
        <w:rPr>
          <w:shd w:val="clear" w:color="auto" w:fill="FFFFFF"/>
        </w:rPr>
        <w:fldChar w:fldCharType="separate"/>
      </w:r>
      <w:r w:rsidRPr="00C916FE">
        <w:t>(Feng et al., 2022; M. Meng et al., 2023; Q. Wu et al., 2023)</w:t>
      </w:r>
      <w:r w:rsidRPr="00C916FE">
        <w:rPr>
          <w:shd w:val="clear" w:color="auto" w:fill="FFFFFF"/>
        </w:rPr>
        <w:fldChar w:fldCharType="end"/>
      </w:r>
      <w:r w:rsidRPr="00C916FE">
        <w:rPr>
          <w:color w:val="000000"/>
          <w:lang w:eastAsia="zh-CN"/>
        </w:rPr>
        <w:t>.</w:t>
      </w:r>
    </w:p>
    <w:p w14:paraId="699EF7D1" w14:textId="1131F149" w:rsidR="00C916FE" w:rsidRPr="00C916FE" w:rsidRDefault="00C916FE" w:rsidP="00C916FE">
      <w:pPr>
        <w:spacing w:before="240"/>
        <w:jc w:val="both"/>
        <w:rPr>
          <w:color w:val="000000"/>
          <w:lang w:eastAsia="zh-CN"/>
        </w:rPr>
      </w:pPr>
      <w:r w:rsidRPr="00C916FE">
        <w:rPr>
          <w:color w:val="000000"/>
          <w:lang w:eastAsia="zh-CN"/>
        </w:rPr>
        <w:t xml:space="preserve">          </w:t>
      </w:r>
      <w:r w:rsidRPr="00C916FE">
        <w:rPr>
          <w:color w:val="000000"/>
          <w:lang w:eastAsia="zh-CN"/>
        </w:rPr>
        <w:t xml:space="preserve">Studies identify key drivers of Total Factor Power Generation Efficiency (TFPGE), including technological progress, trade openness, urbanization, industrial structure, government investment, and low-carbon policies </w:t>
      </w:r>
      <w:r w:rsidRPr="00C916FE">
        <w:rPr>
          <w:rFonts w:eastAsia="STIX-Regular"/>
          <w14:ligatures w14:val="standardContextual"/>
        </w:rPr>
        <w:fldChar w:fldCharType="begin"/>
      </w:r>
      <w:r w:rsidRPr="00C916FE">
        <w:rPr>
          <w:rFonts w:eastAsia="STIX-Regular"/>
          <w14:ligatures w14:val="standardContextual"/>
        </w:rPr>
        <w:instrText xml:space="preserve"> ADDIN ZOTERO_ITEM CSL_CITATION {"citationID":"hcFWQMSZ","properties":{"formattedCitation":"(Eguchi et al., 2021; Jiang et al., 2024; Nakaishi et al., 2022; Tang et al., 2023; J. Wang &amp; Wang, 2023; W. Wei et al., 2023)","plainCitation":"(Eguchi et al., 2021; Jiang et al., 2024; Nakaishi et al., 2022; Tang et al., 2023; J. Wang &amp; Wang, 2023; W. Wei et al., 2023)","noteIndex":0},"citationItems":[{"id":778,"uris":["http://zotero.org/users/local/wH06Ygim/items/T4I3A4XL"],"itemData":{"id":778,"type":"article-journal","container-title":"Renewable and Sustainable Energy Reviews","DOI":"10.1016/j.rser.2020.110562","ISSN":"13640321","journalAbbreviation":"Renewable and Sustainable Energy Reviews","language":"en","page":"110562","source":"DOI.org (Crossref)","title":"Sources of inefficient power generation by coal-fired thermal power plants in China: A metafrontier DEA decomposition approach","title-short":"Sources of inefficient power generation by coal-fired thermal power plants in China","volume":"138","author":[{"family":"Eguchi","given":"Shogo"},{"family":"Takayabu","given":"Hirotaka"},{"family":"Lin","given":"Chen"}],"issued":{"date-parts":[["2021",3]]}}},{"id":617,"uris":["http://zotero.org/users/local/wH06Ygim/items/EVT6XKPA"],"itemData":{"id":617,"type":"article-journal","container-title":"Clean Technologies and Environmental Policy","DOI":"10.1007/s10098-022-02310-4","ISSN":"1618-954X, 1618-9558","issue":"7","journalAbbreviation":"Clean Techn Environ Policy","language":"en","page":"2177-2192","source":"DOI.org (Crossref)","title":"Spatial autocorrelation analysis of the environmental efficiency of coal-fired power plants in China","volume":"24","author":[{"family":"Nakaishi","given":"Tomoaki"},{"family":"Nagashima","given":"Fumiya"},{"family":"Kagawa","given":"Shigemi"}],"issued":{"date-parts":[["2022",9]]}}},{"id":774,"uris":["http://zotero.org/users/local/wH06Ygim/items/3RW25MJD"],"itemData":{"id":774,"type":"article-journal","container-title":"Energy Policy","DOI":"10.1016/j.enpol.2022.113412","ISSN":"03014215","journalAbbreviation":"Energy Policy","language":"en","page":"113412","source":"DOI.org (Crossref)","title":"Ultra-low emission standards and corporate production performance: Evidence from Chinese thermal power companies","title-short":"Ultra-low emission standards and corporate production performance","volume":"173","author":[{"family":"Tang","given":"Chang"},{"family":"Qi","given":"Yu"},{"family":"Khan","given":"Naqib Ullah"},{"family":"Tang","given":"Ruwei"},{"family":"Xue","given":"Yan"}],"issued":{"date-parts":[["2023",2]]}}},{"id":767,"uris":["http://zotero.org/users/local/wH06Ygim/items/7CVNJQWN"],"itemData":{"id":767,"type":"article-journal","container-title":"Energy Policy","DOI":"10.1016/j.enpol.2023.113722","ISSN":"03014215","journalAbbreviation":"Energy Policy","language":"en","page":"113722","source":"DOI.org (Crossref)","title":"The effect of electricity market reform on energy efficiency in China","volume":"181","author":[{"family":"Wang","given":"Jiexin"},{"family":"Wang","given":"Song"}],"issued":{"date-parts":[["2023",10]]}}},{"id":717,"uris":["http://zotero.org/users/local/wH06Ygim/items/PJ5MFV8X"],"itemData":{"id":717,"type":"article-journal","container-title":"Energy Economics","DOI":"10.1016/j.eneco.2023.107161","ISSN":"01409883","journalAbbreviation":"Energy Economics","language":"en","page":"107161","source":"DOI.org (Crossref)","title":"Empirical study on the technical efficiency and total factor productivity of power industry: Evidence from Chinese provinces","title-short":"Empirical study on the technical efficiency and total factor productivity of power industry","volume":"128","author":[{"family":"Wei","given":"Wei"},{"family":"Han","given":"Ying"},{"family":"Abedin","given":"Mohammad Zoynul"},{"family":"Ma","given":"Jingjing"},{"family":"Chai","given":"Shanglei"}],"issued":{"date-parts":[["2023",12]]}}},{"id":796,"uris":["http://zotero.org/users/local/wH06Ygim/items/KNQ9F5W8"],"itemData":{"id":796,"type":"article-journal","abstract":"Abstract\n            Transition towards low‐carbon and carbon‐neutral society requires multiple technological solutions. Thermal power generation is the main source of power generation in China and contributes to a large portion of carbon emission. Under the goal of “carbon peak”, thermal power generation efficiency will become an important factor affecting industrial development. Based on the directional distance function, this article assumes energy used as inputs and power generation as an output. Then, energy‐oriented and energy‐generation oriented power generation efficiency analysis models are proposed. The carbon emission is treated as an undesirable output to analyze the regional power generation efficiency with and without industrial transfer. The application focuses on panel data of three regions in China over the period 2013–2017, accounting for three energy inputs: solid, oil and gaseous fuel. The results show that in regard to the factors improving power generation efficiency, pure efficiency and scale efficiency change is positive for the eastern and central regions, while pure technical efficiency change is positive for the western region. By further analyzing the power generation potential, the results also show that the eastern region exhibits potential savings in gaseous fuel, the central region has potential in three fuels, but all not prominent, and the western region has potential in solid and oil fuels. Accordingly, the article puts forward policy recommendations from the perspective of technological innovation, differentiated development, and collaborative communication.","container-title":"Sustainable Development","DOI":"10.1002/sd.2815","ISSN":"0968-0802, 1099-1719","issue":"4","journalAbbreviation":"Sustainable Development","language":"en","page":"2944-2961","source":"DOI.org (Crossref)","title":"Towards carbon‐neutral society: Reconciling peak carbon strategy and thermal power generation via regional eco‐efficiency analysis","title-short":"Towards carbon‐neutral society","volume":"32","author":[{"family":"Jiang","given":"Nanyue"},{"family":"Zhang","given":"Chonghui"},{"family":"Su","given":"Weihua"},{"family":"Jin","given":"Huanhuan"},{"family":"Balezentis","given":"Tomas"}],"issued":{"date-parts":[["2024",8]]}}}],"schema":"https://github.com/citation-style-language/schema/raw/master/csl-citation.json"} </w:instrText>
      </w:r>
      <w:r w:rsidRPr="00C916FE">
        <w:rPr>
          <w:rFonts w:eastAsia="STIX-Regular"/>
          <w14:ligatures w14:val="standardContextual"/>
        </w:rPr>
        <w:fldChar w:fldCharType="separate"/>
      </w:r>
      <w:r w:rsidRPr="00C916FE">
        <w:t xml:space="preserve">(Eguchi et al., 2021; Jiang et al., 2024; </w:t>
      </w:r>
      <w:proofErr w:type="spellStart"/>
      <w:r w:rsidRPr="00C916FE">
        <w:t>Nakaishi</w:t>
      </w:r>
      <w:proofErr w:type="spellEnd"/>
      <w:r w:rsidRPr="00C916FE">
        <w:t xml:space="preserve"> et al., 2022; Tang et al., 2023; J. Wang &amp; Wang, 2023; W. Wei et al., 2023)</w:t>
      </w:r>
      <w:r w:rsidRPr="00C916FE">
        <w:rPr>
          <w:rFonts w:eastAsia="STIX-Regular"/>
          <w14:ligatures w14:val="standardContextual"/>
        </w:rPr>
        <w:fldChar w:fldCharType="end"/>
      </w:r>
      <w:r w:rsidRPr="00C916FE">
        <w:rPr>
          <w:color w:val="000000"/>
          <w:lang w:eastAsia="zh-CN"/>
        </w:rPr>
        <w:t>.</w:t>
      </w:r>
      <w:r w:rsidRPr="00C916FE">
        <w:rPr>
          <w:color w:val="000000"/>
          <w:lang w:eastAsia="zh-CN"/>
        </w:rPr>
        <w:t xml:space="preserve"> </w:t>
      </w:r>
      <w:r w:rsidRPr="00C916FE">
        <w:rPr>
          <w:color w:val="000000"/>
          <w:lang w:eastAsia="zh-CN"/>
        </w:rPr>
        <w:t xml:space="preserve">Technological innovation is the primary driver </w:t>
      </w:r>
      <w:r w:rsidRPr="00C916FE">
        <w:fldChar w:fldCharType="begin"/>
      </w:r>
      <w:r w:rsidRPr="00C916FE">
        <w:instrText xml:space="preserve"> ADDIN ZOTERO_ITEM CSL_CITATION {"citationID":"C4z7iyPH","properties":{"formattedCitation":"(Y. Pan et al., 2024)","plainCitation":"(Y. Pan et al., 2024)","noteIndex":0},"citationItems":[{"id":773,"uris":["http://zotero.org/users/local/wH06Ygim/items/5ZB7QCR2"],"itemData":{"id":773,"type":"article-journal","container-title":"European Journal of Operational Research","DOI":"10.1016/j.ejor.2024.11.019","ISSN":"03772217","journalAbbreviation":"European Journal of Operational Research","language":"en","page":"S0377221724008889","source":"DOI.org (Crossref)","title":"Measuring carbon emission performance in China's energy market: Evidence from improved non-radial directional distance function data envelopment analysis","title-short":"Measuring carbon emission performance in China's energy market","author":[{"family":"Pan","given":"Yinghao"},{"family":"Wu","given":"Jie"},{"family":"Zhang","given":"Chao-Chao"},{"family":"Nasir","given":"Muhammad Ali"}],"issued":{"date-parts":[["2024",11]]}}}],"schema":"https://github.com/citation-style-language/schema/raw/master/csl-citation.json"} </w:instrText>
      </w:r>
      <w:r w:rsidRPr="00C916FE">
        <w:fldChar w:fldCharType="separate"/>
      </w:r>
      <w:r w:rsidRPr="00C916FE">
        <w:t>(Y. Pan et al., 2024)</w:t>
      </w:r>
      <w:r w:rsidRPr="00C916FE">
        <w:fldChar w:fldCharType="end"/>
      </w:r>
      <w:r w:rsidRPr="00C916FE">
        <w:rPr>
          <w:rFonts w:eastAsia="STIX-Regular"/>
          <w14:ligatures w14:val="standardContextual"/>
        </w:rPr>
        <w:t xml:space="preserve">. </w:t>
      </w:r>
      <w:r w:rsidRPr="00C916FE">
        <w:rPr>
          <w:rFonts w:eastAsia="STIX-Regular"/>
          <w14:ligatures w14:val="standardContextual"/>
        </w:rPr>
        <w:fldChar w:fldCharType="begin"/>
      </w:r>
      <w:r w:rsidRPr="00C916FE">
        <w:rPr>
          <w:rFonts w:eastAsia="STIX-Regular"/>
          <w14:ligatures w14:val="standardContextual"/>
        </w:rPr>
        <w:instrText xml:space="preserve"> ADDIN ZOTERO_ITEM CSL_CITATION {"citationID":"mfA85Bqx","properties":{"formattedCitation":"(Eguchi et al., 2021)","plainCitation":"(Eguchi et al., 2021)","noteIndex":0},"citationItems":[{"id":778,"uris":["http://zotero.org/users/local/wH06Ygim/items/T4I3A4XL"],"itemData":{"id":778,"type":"article-journal","container-title":"Renewable and Sustainable Energy Reviews","DOI":"10.1016/j.rser.2020.110562","ISSN":"13640321","journalAbbreviation":"Renewable and Sustainable Energy Reviews","language":"en","page":"110562","source":"DOI.org (Crossref)","title":"Sources of inefficient power generation by coal-fired thermal power plants in China: A metafrontier DEA decomposition approach","title-short":"Sources of inefficient power generation by coal-fired thermal power plants in China","volume":"138","author":[{"family":"Eguchi","given":"Shogo"},{"family":"Takayabu","given":"Hirotaka"},{"family":"Lin","given":"Chen"}],"issued":{"date-parts":[["2021",3]]}}}],"schema":"https://github.com/citation-style-language/schema/raw/master/csl-citation.json"} </w:instrText>
      </w:r>
      <w:r w:rsidRPr="00C916FE">
        <w:rPr>
          <w:rFonts w:eastAsia="STIX-Regular"/>
          <w14:ligatures w14:val="standardContextual"/>
        </w:rPr>
        <w:fldChar w:fldCharType="separate"/>
      </w:r>
      <w:r w:rsidRPr="00C916FE">
        <w:rPr>
          <w:rFonts w:eastAsia="STIX-Regular"/>
        </w:rPr>
        <w:t>(Eguchi et al., 2021)</w:t>
      </w:r>
      <w:r w:rsidRPr="00C916FE">
        <w:rPr>
          <w:rFonts w:eastAsia="STIX-Regular"/>
          <w14:ligatures w14:val="standardContextual"/>
        </w:rPr>
        <w:fldChar w:fldCharType="end"/>
      </w:r>
      <w:r w:rsidRPr="00C916FE">
        <w:rPr>
          <w:color w:val="000000"/>
          <w:lang w:eastAsia="zh-CN"/>
        </w:rPr>
        <w:t xml:space="preserve"> </w:t>
      </w:r>
      <w:r w:rsidRPr="00C916FE">
        <w:rPr>
          <w:color w:val="000000"/>
          <w:lang w:eastAsia="zh-CN"/>
        </w:rPr>
        <w:t xml:space="preserve">emphasized technology and coal quality for efficiency in China’s coal plants (2009–2011), while </w:t>
      </w:r>
      <w:r w:rsidRPr="00C916FE">
        <w:rPr>
          <w:rFonts w:eastAsia="STIX-Regular"/>
          <w14:ligatures w14:val="standardContextual"/>
        </w:rPr>
        <w:fldChar w:fldCharType="begin"/>
      </w:r>
      <w:r w:rsidRPr="00C916FE">
        <w:rPr>
          <w:rFonts w:eastAsia="STIX-Regular"/>
          <w14:ligatures w14:val="standardContextual"/>
        </w:rPr>
        <w:instrText xml:space="preserve"> ADDIN ZOTERO_ITEM CSL_CITATION {"citationID":"DeH25k1o","properties":{"formattedCitation":"(H. Zhang &amp; Wu, 2022)","plainCitation":"(H. Zhang &amp; Wu, 2022)","noteIndex":0},"citationItems":[{"id":781,"uris":["http://zotero.org/users/local/wH06Ygim/items/NSSYLCSX"],"itemData":{"id":781,"type":"article-journal","abstract":"Promoting the carbon emission trading system has been a crucial measure for China to fulfill its carbon neutrality commitment. Taking the carbon emission trading system implemented in China in 2013 as a quasi-natural experiment, based on the provincial panel data of China from 2005 to 2019, this paper adopts the difference-in-difference (DID) method and the synthetic control method (SCM) to evaluate the impact of the carbon emission trading system on energy conservation and emission reduction in pilot provinces and cities. The research findings reveal that, on the whole, the carbon emission trading system has significantly promoted the process of energy conservation and emission reduction in pilot provinces and cities. Other robustness tests, including the parallel trend test, PSM–DID stationarity test and placebo test have also been passed. Heterogeneity analysis shows that the most significant policy effects occur in Tianjin and Shanghai, followed by Hubei. The emission reduction effect of Guangdong displays a trend of first decreasing and then increasing. The test results demonstrate that the carbon emission trading system can strengthen the process of energy conservation and emission reduction by optimizing the industrial structure and energy structure. In conclusion, policy makers should coordinate the relationship between the government and the market and speed up the transformation of environmental policy from command control type to market incentive type. Meanwhile, improve the property right system and accelerate the promotion of carbon emission trading pilot policies in China according to local conditions. By encouraging technological innovation, a new market-oriented path of energy conservation and emission reduction guided by the enhancement of energy efficiency and the optimization of energy and industrial structures ought to be formed.","container-title":"International Journal of Environmental Research and Public Health","DOI":"10.3390/ijerph19159272","ISSN":"1660-4601","issue":"15","journalAbbreviation":"IJERPH","language":"en","license":"https://creativecommons.org/licenses/by/4.0/","page":"9272","source":"DOI.org (Crossref)","title":"The Energy Saving and Emission Reduction Effect of Carbon Trading Pilot Policy in China: Evidence from a Quasi-Natural Experiment","title-short":"The Energy Saving and Emission Reduction Effect of Carbon Trading Pilot Policy in China","volume":"19","author":[{"family":"Zhang","given":"Huan"},{"family":"Wu","given":"Jingyu"}],"issued":{"date-parts":[["2022",7,28]]}}}],"schema":"https://github.com/citation-style-language/schema/raw/master/csl-citation.json"} </w:instrText>
      </w:r>
      <w:r w:rsidRPr="00C916FE">
        <w:rPr>
          <w:rFonts w:eastAsia="STIX-Regular"/>
          <w14:ligatures w14:val="standardContextual"/>
        </w:rPr>
        <w:fldChar w:fldCharType="separate"/>
      </w:r>
      <w:r w:rsidRPr="00C916FE">
        <w:rPr>
          <w:rFonts w:eastAsia="STIX-Regular"/>
        </w:rPr>
        <w:t>(H. Zhang &amp; Wu, 2022)</w:t>
      </w:r>
      <w:r w:rsidRPr="00C916FE">
        <w:rPr>
          <w:rFonts w:eastAsia="STIX-Regular"/>
          <w14:ligatures w14:val="standardContextual"/>
        </w:rPr>
        <w:fldChar w:fldCharType="end"/>
      </w:r>
      <w:r w:rsidRPr="00C916FE">
        <w:rPr>
          <w:color w:val="000000"/>
          <w:lang w:eastAsia="zh-CN"/>
        </w:rPr>
        <w:t xml:space="preserve"> highlighted green technology and renewables. </w:t>
      </w:r>
      <w:r w:rsidRPr="00C916FE">
        <w:fldChar w:fldCharType="begin"/>
      </w:r>
      <w:r w:rsidRPr="00C916FE">
        <w:instrText xml:space="preserve"> ADDIN ZOTERO_ITEM CSL_CITATION {"citationID":"6SJeeBJm","properties":{"formattedCitation":"(Y. Pan et al., 2024)","plainCitation":"(Y. Pan et al., 2024)","noteIndex":0},"citationItems":[{"id":773,"uris":["http://zotero.org/users/local/wH06Ygim/items/5ZB7QCR2"],"itemData":{"id":773,"type":"article-journal","container-title":"European Journal of Operational Research","DOI":"10.1016/j.ejor.2024.11.019","ISSN":"03772217","journalAbbreviation":"European Journal of Operational Research","language":"en","page":"S0377221724008889","source":"DOI.org (Crossref)","title":"Measuring carbon emission performance in China's energy market: Evidence from improved non-radial directional distance function data envelopment analysis","title-short":"Measuring carbon emission performance in China's energy market","author":[{"family":"Pan","given":"Yinghao"},{"family":"Wu","given":"Jie"},{"family":"Zhang","given":"Chao-Chao"},{"family":"Nasir","given":"Muhammad Ali"}],"issued":{"date-parts":[["2024",11]]}}}],"schema":"https://github.com/citation-style-language/schema/raw/master/csl-citation.json"} </w:instrText>
      </w:r>
      <w:r w:rsidRPr="00C916FE">
        <w:fldChar w:fldCharType="separate"/>
      </w:r>
      <w:r w:rsidRPr="00C916FE">
        <w:t>(Y. Pan et al., 2024)</w:t>
      </w:r>
      <w:r w:rsidRPr="00C916FE">
        <w:fldChar w:fldCharType="end"/>
      </w:r>
      <w:r w:rsidRPr="00C916FE">
        <w:rPr>
          <w:color w:val="000000"/>
          <w:lang w:eastAsia="zh-CN"/>
        </w:rPr>
        <w:t xml:space="preserve"> found technological and scale efficiency boosted production efficiency in 15 eastern power firms (2016–2020).</w:t>
      </w:r>
      <w:r w:rsidRPr="00C916FE">
        <w:rPr>
          <w:color w:val="000000"/>
          <w:lang w:eastAsia="zh-CN"/>
        </w:rPr>
        <w:t xml:space="preserve"> </w:t>
      </w:r>
      <w:r w:rsidRPr="00C916FE">
        <w:fldChar w:fldCharType="begin"/>
      </w:r>
      <w:r w:rsidRPr="00C916FE">
        <w:instrText xml:space="preserve"> ADDIN ZOTERO_ITEM CSL_CITATION {"citationID":"DCPUNUI0","properties":{"formattedCitation":"(F. Dong et al., 2024)","plainCitation":"(F. Dong et al., 2024)","noteIndex":0},"citationItems":[{"id":766,"uris":["http://zotero.org/users/local/wH06Ygim/items/DVYU53AI"],"itemData":{"id":766,"type":"article-journal","container-title":"Journal of Cleaner Production","DOI":"10.1016/j.jclepro.2024.140818","ISSN":"09596526","journalAbbreviation":"Journal of Cleaner Production","language":"en","page":"140818","source":"DOI.org (Crossref)","title":"Measurement and decomposition of environmental efficiency in the power industry based on multi-hierarchy meta-frontier BAM model","volume":"441","author":[{"family":"Dong","given":"Feng"},{"family":"Chen","given":"Yuhuan"},{"family":"Sun","given":"Jiaojiao"},{"family":"Li","given":"Jingyun"},{"family":"Wang","given":"Lubing"},{"family":"Dong","given":"Tianqi"},{"family":"Cui","given":"Jue"}],"issued":{"date-parts":[["2024",2]]}}}],"schema":"https://github.com/citation-style-language/schema/raw/master/csl-citation.json"} </w:instrText>
      </w:r>
      <w:r w:rsidRPr="00C916FE">
        <w:fldChar w:fldCharType="separate"/>
      </w:r>
      <w:r w:rsidRPr="00C916FE">
        <w:t>(F. Dong et al., 2024)</w:t>
      </w:r>
      <w:r w:rsidRPr="00C916FE">
        <w:fldChar w:fldCharType="end"/>
      </w:r>
      <w:r w:rsidRPr="00C916FE">
        <w:rPr>
          <w:color w:val="000000"/>
          <w:lang w:eastAsia="zh-CN"/>
        </w:rPr>
        <w:t xml:space="preserve"> confirmed technological progress drives environmental efficiency across 30 provinces. </w:t>
      </w:r>
      <w:r w:rsidRPr="00C916FE">
        <w:rPr>
          <w:rFonts w:eastAsia="STIX-Regular"/>
          <w14:ligatures w14:val="standardContextual"/>
        </w:rPr>
        <w:fldChar w:fldCharType="begin"/>
      </w:r>
      <w:r w:rsidRPr="00C916FE">
        <w:rPr>
          <w:rFonts w:eastAsia="STIX-Regular"/>
          <w14:ligatures w14:val="standardContextual"/>
        </w:rPr>
        <w:instrText xml:space="preserve"> ADDIN ZOTERO_ITEM CSL_CITATION {"citationID":"1hoxCnSg","properties":{"formattedCitation":"(Jiang et al., 2024)","plainCitation":"(Jiang et al., 2024)","noteIndex":0},"citationItems":[{"id":796,"uris":["http://zotero.org/users/local/wH06Ygim/items/KNQ9F5W8"],"itemData":{"id":796,"type":"article-journal","abstract":"Abstract\n            Transition towards low‐carbon and carbon‐neutral society requires multiple technological solutions. Thermal power generation is the main source of power generation in China and contributes to a large portion of carbon emission. Under the goal of “carbon peak”, thermal power generation efficiency will become an important factor affecting industrial development. Based on the directional distance function, this article assumes energy used as inputs and power generation as an output. Then, energy‐oriented and energy‐generation oriented power generation efficiency analysis models are proposed. The carbon emission is treated as an undesirable output to analyze the regional power generation efficiency with and without industrial transfer. The application focuses on panel data of three regions in China over the period 2013–2017, accounting for three energy inputs: solid, oil and gaseous fuel. The results show that in regard to the factors improving power generation efficiency, pure efficiency and scale efficiency change is positive for the eastern and central regions, while pure technical efficiency change is positive for the western region. By further analyzing the power generation potential, the results also show that the eastern region exhibits potential savings in gaseous fuel, the central region has potential in three fuels, but all not prominent, and the western region has potential in solid and oil fuels. Accordingly, the article puts forward policy recommendations from the perspective of technological innovation, differentiated development, and collaborative communication.","container-title":"Sustainable Development","DOI":"10.1002/sd.2815","ISSN":"0968-0802, 1099-1719","issue":"4","journalAbbreviation":"Sustainable Development","language":"en","page":"2944-2961","source":"DOI.org (Crossref)","title":"Towards carbon‐neutral society: Reconciling peak carbon strategy and thermal power generation via regional eco‐efficiency analysis","title-short":"Towards carbon‐neutral society","volume":"32","author":[{"family":"Jiang","given":"Nanyue"},{"family":"Zhang","given":"Chonghui"},{"family":"Su","given":"Weihua"},{"family":"Jin","given":"Huanhuan"},{"family":"Balezentis","given":"Tomas"}],"issued":{"date-parts":[["2024",8]]}}}],"schema":"https://github.com/citation-style-language/schema/raw/master/csl-citation.json"} </w:instrText>
      </w:r>
      <w:r w:rsidRPr="00C916FE">
        <w:rPr>
          <w:rFonts w:eastAsia="STIX-Regular"/>
          <w14:ligatures w14:val="standardContextual"/>
        </w:rPr>
        <w:fldChar w:fldCharType="separate"/>
      </w:r>
      <w:r w:rsidRPr="00C916FE">
        <w:t>(Jiang et al., 2024)</w:t>
      </w:r>
      <w:r w:rsidRPr="00C916FE">
        <w:rPr>
          <w:rFonts w:eastAsia="STIX-Regular"/>
          <w14:ligatures w14:val="standardContextual"/>
        </w:rPr>
        <w:fldChar w:fldCharType="end"/>
      </w:r>
      <w:r w:rsidRPr="00C916FE">
        <w:rPr>
          <w:color w:val="000000"/>
          <w:lang w:eastAsia="zh-CN"/>
        </w:rPr>
        <w:t xml:space="preserve"> noted efficiency gains in eastern and central regions, with technical efficiency rising in the west </w:t>
      </w:r>
      <w:r w:rsidRPr="00C916FE">
        <w:rPr>
          <w:color w:val="000000"/>
          <w:lang w:eastAsia="zh-CN"/>
        </w:rPr>
        <w:lastRenderedPageBreak/>
        <w:t xml:space="preserve">(2013–2017). Regional economic growth and resource disparities enhance thermal power efficiency </w:t>
      </w:r>
      <w:r w:rsidRPr="00C916FE">
        <w:rPr>
          <w:shd w:val="clear" w:color="auto" w:fill="FFFFFF"/>
        </w:rPr>
        <w:fldChar w:fldCharType="begin"/>
      </w:r>
      <w:r w:rsidRPr="00C916FE">
        <w:rPr>
          <w:shd w:val="clear" w:color="auto" w:fill="FFFFFF"/>
        </w:rPr>
        <w:instrText xml:space="preserve"> ADDIN ZOTERO_ITEM CSL_CITATION {"citationID":"XBBWhnWA","properties":{"formattedCitation":"(Feng et al., 2022; Jindal et al., 2024; F. Ren et al., 2025)","plainCitation":"(Feng et al., 2022; Jindal et al., 2024; F. Ren et al., 2025)","noteIndex":0},"citationItems":[{"id":798,"uris":["http://zotero.org/users/local/wH06Ygim/items/AS4EC7IQ"],"itemData":{"id":798,"type":"article-journal","abstract":"Coal-based thermal power generation has long been the main source of power generation in the mainland of China. The efficiency of power generation is an important factor that determines the energy conservation and emission reduction as well as the sustainable development of the power industry in China. By comparing the regional differences of 30 provinces in the mainland from 2013 to 2017, this study uses the Super-DDF model and the TFEE to comprehensively evaluate the energy efficiency of thermal power generation. Empirical results: Overall efficiency: eastern efficiency (1.181) is the highest, followed by western (0.956), central (0.951) and northeastern (0.926). Total factor energy efficiency: eastern efficiency (0.923) is the highest, followed by western (0.754), central (0.742) and northeastern (0.710). The government and power industry managers should fully consider the regional differences in the field of thermal power generation when formulating policies so as to improve the power efficiency and promote the green development of power industry in China. Based on the analysis results, although the coal-fired power industry is more mature than other alternative energy industries, the expansion of thermal power generation cannot be considered if CO2 emissions are to be reduced. Additionally, the market share and competitiveness of the local power industry can be increased based on the different conditions of the resource endowments of each region.","container-title":"Sustainability","DOI":"10.3390/su14010504","ISSN":"2071-1050","issue":"1","journalAbbreviation":"Sustainability","language":"en","license":"https://creativecommons.org/licenses/by/4.0/","page":"504","source":"DOI.org (Crossref)","title":"Total Factor Energy Efficiency of China’s Thermal Power Industry","volume":"14","author":[{"family":"Feng","given":"Ying"},{"family":"Lu","given":"Ching-Cheng"},{"family":"Lin","given":"I-Fang"},{"family":"Yang","given":"An-Chi"},{"family":"Lin","given":"Po-Chun"}],"issued":{"date-parts":[["2022",1,4]]}}},{"id":765,"uris":["http://zotero.org/users/local/wH06Ygim/items/3326MTER"],"itemData":{"id":765,"type":"article-journal","container-title":"Energy Policy","DOI":"10.1016/j.enpol.2023.113865","ISSN":"03014215","journalAbbreviation":"Energy Policy","language":"en","page":"113865","source":"DOI.org (Crossref)","title":"CO2 emissions abatement costs and drivers for Indian thermal power industry","volume":"184","author":[{"family":"Jindal","given":"Abhinav"},{"family":"Nilakantan","given":"Rahul"},{"family":"Sinha","given":"Avik"}],"issued":{"date-parts":[["2024",1]]}}},{"id":770,"uris":["http://zotero.org/users/local/wH06Ygim/items/AKD5MIS8"],"itemData":{"id":770,"type":"article-journal","container-title":"Energy Economics","DOI":"10.1016/j.eneco.2024.108138","ISSN":"01409883","journalAbbreviation":"Energy Economics","language":"en","page":"108138","source":"DOI.org (Crossref)","title":"Integrated efficiency and influencing factors analysis of ESG and market performance in thermal power enterprises in China: A hybrid perspective based on parallel DEA and a benchmark model","title-short":"Integrated efficiency and influencing factors analysis of ESG and market performance in thermal power enterprises in China","volume":"141","author":[{"family":"Ren","given":"Fangrong"},{"family":"Liu","given":"Xiaoyan"},{"family":"Charles","given":"Vincent"},{"family":"Zhao","given":"Xin"},{"family":"Balsalobre-Lorente","given":"Daniel"}],"issued":{"date-parts":[["2025",1]]}}}],"schema":"https://github.com/citation-style-language/schema/raw/master/csl-citation.json"} </w:instrText>
      </w:r>
      <w:r w:rsidRPr="00C916FE">
        <w:rPr>
          <w:shd w:val="clear" w:color="auto" w:fill="FFFFFF"/>
        </w:rPr>
        <w:fldChar w:fldCharType="separate"/>
      </w:r>
      <w:r w:rsidRPr="00C916FE">
        <w:t>(Feng et al., 2022; Jindal et al., 2024; F. Ren et al., 2025)</w:t>
      </w:r>
      <w:r w:rsidRPr="00C916FE">
        <w:rPr>
          <w:shd w:val="clear" w:color="auto" w:fill="FFFFFF"/>
        </w:rPr>
        <w:fldChar w:fldCharType="end"/>
      </w:r>
      <w:r w:rsidRPr="00C916FE">
        <w:rPr>
          <w:color w:val="000000"/>
          <w:lang w:eastAsia="zh-CN"/>
        </w:rPr>
        <w:t>.</w:t>
      </w:r>
      <w:r w:rsidRPr="00C916FE">
        <w:rPr>
          <w:color w:val="000000"/>
          <w:lang w:eastAsia="zh-CN"/>
        </w:rPr>
        <w:t xml:space="preserve"> </w:t>
      </w:r>
      <w:r w:rsidRPr="00C916FE">
        <w:rPr>
          <w:color w:val="000000"/>
          <w:lang w:eastAsia="zh-CN"/>
        </w:rPr>
        <w:t xml:space="preserve">Installed capacity growth impacts environmental performance </w:t>
      </w:r>
      <w:r w:rsidRPr="00C916FE">
        <w:fldChar w:fldCharType="begin"/>
      </w:r>
      <w:r w:rsidRPr="00C916FE">
        <w:instrText xml:space="preserve"> ADDIN ZOTERO_ITEM CSL_CITATION {"citationID":"5iycf8kc","properties":{"formattedCitation":"(B.-C. Xie et al., 2021)","plainCitation":"(B.-C. Xie et al., 2021)","noteIndex":0},"citationItems":[{"id":793,"uris":["http://zotero.org/users/local/wH06Ygim/items/2YZF65GI"],"itemData":{"id":793,"type":"article-journal","container-title":"Environmental Science and Pollution Research","DOI":"10.1007/s11356-020-10237-w","ISSN":"0944-1344, 1614-7499","issue":"2","journalAbbreviation":"Environ Sci Pollut Res","language":"en","page":"1697-1711","source":"DOI.org (Crossref)","title":"Dynamic environmental efficiency analysis of China’s power generation enterprises: a game cross-Malmquist index approach","title-short":"Dynamic environmental efficiency analysis of China’s power generation enterprises","volume":"28","author":[{"family":"Xie","given":"Bai-Chen"},{"family":"Chen","given":"Yun-Fei"},{"family":"Gao","given":"Jie"},{"family":"Zhang","given":"Shuang"}],"issued":{"date-parts":[["2021",1]]}}}],"schema":"https://github.com/citation-style-language/schema/raw/master/csl-citation.json"} </w:instrText>
      </w:r>
      <w:r w:rsidRPr="00C916FE">
        <w:fldChar w:fldCharType="separate"/>
      </w:r>
      <w:r w:rsidRPr="00C916FE">
        <w:t>(B.-C. Xie et al., 2021)</w:t>
      </w:r>
      <w:r w:rsidRPr="00C916FE">
        <w:fldChar w:fldCharType="end"/>
      </w:r>
      <w:r w:rsidRPr="00C916FE">
        <w:rPr>
          <w:color w:val="000000"/>
          <w:lang w:eastAsia="zh-CN"/>
        </w:rPr>
        <w:t xml:space="preserve">, while management efficiency is vital, and weak organizational structures hinder progress </w:t>
      </w:r>
      <w:r w:rsidRPr="00C916FE">
        <w:rPr>
          <w:rFonts w:eastAsia="STIX-Regular"/>
          <w14:ligatures w14:val="standardContextual"/>
        </w:rPr>
        <w:fldChar w:fldCharType="begin"/>
      </w:r>
      <w:r w:rsidRPr="00C916FE">
        <w:rPr>
          <w:rFonts w:eastAsia="STIX-Regular"/>
          <w14:ligatures w14:val="standardContextual"/>
        </w:rPr>
        <w:instrText xml:space="preserve"> ADDIN ZOTERO_ITEM CSL_CITATION {"citationID":"XQsd0Rbz","properties":{"formattedCitation":"(Nakaishi et al., 2021; Yadava et al., 2025)","plainCitation":"(Nakaishi et al., 2021; Yadava et al., 2025)","noteIndex":0},"citationItems":[{"id":719,"uris":["http://zotero.org/users/local/wH06Ygim/items/FPNPGIHN"],"itemData":{"id":719,"type":"article-journal","container-title":"Energy Economics","DOI":"10.1016/j.eneco.2021.105511","ISSN":"01409883","journalAbbreviation":"Energy Economics","language":"en","page":"105511","source":"DOI.org (Crossref)","title":"Environmental efficiency analysis of China's coal-fired power plants considering heterogeneity in power generation company groups","volume":"102","author":[{"family":"Nakaishi","given":"Tomoaki"},{"family":"Takayabu","given":"Hirotaka"},{"family":"Eguchi","given":"Shogo"}],"issued":{"date-parts":[["2021",10]]}}},{"id":763,"uris":["http://zotero.org/users/local/wH06Ygim/items/UIGAB27H"],"itemData":{"id":763,"type":"article-journal","container-title":"Energy Economics","DOI":"10.1016/j.eneco.2025.108396","ISSN":"01409883","journalAbbreviation":"Energy Economics","language":"en","page":"108396","source":"DOI.org (Crossref)","title":"Benchmarking the performance of Indian electricity distribution companies: The applications of multi-stage robust DEA and SFA models","title-short":"Benchmarking the performance of Indian electricity distribution companies","author":[{"family":"Yadava","given":"Anup Kumar"},{"family":"Chakraborty","given":"Soumyajit"},{"family":"Gupta","given":"Sonal"}],"issued":{"date-parts":[["2025",3]]}}}],"schema":"https://github.com/citation-style-language/schema/raw/master/csl-citation.json"} </w:instrText>
      </w:r>
      <w:r w:rsidRPr="00C916FE">
        <w:rPr>
          <w:rFonts w:eastAsia="STIX-Regular"/>
          <w14:ligatures w14:val="standardContextual"/>
        </w:rPr>
        <w:fldChar w:fldCharType="separate"/>
      </w:r>
      <w:r w:rsidRPr="00C916FE">
        <w:rPr>
          <w:rFonts w:eastAsia="STIX-Regular"/>
        </w:rPr>
        <w:t>(</w:t>
      </w:r>
      <w:proofErr w:type="spellStart"/>
      <w:r w:rsidRPr="00C916FE">
        <w:rPr>
          <w:rFonts w:eastAsia="STIX-Regular"/>
        </w:rPr>
        <w:t>Nakaishi</w:t>
      </w:r>
      <w:proofErr w:type="spellEnd"/>
      <w:r w:rsidRPr="00C916FE">
        <w:rPr>
          <w:rFonts w:eastAsia="STIX-Regular"/>
        </w:rPr>
        <w:t xml:space="preserve"> et al., 2021; Yadava et al., 2025)</w:t>
      </w:r>
      <w:r w:rsidRPr="00C916FE">
        <w:rPr>
          <w:rFonts w:eastAsia="STIX-Regular"/>
          <w14:ligatures w14:val="standardContextual"/>
        </w:rPr>
        <w:fldChar w:fldCharType="end"/>
      </w:r>
      <w:r w:rsidRPr="00C916FE">
        <w:rPr>
          <w:color w:val="000000"/>
          <w:lang w:eastAsia="zh-CN"/>
        </w:rPr>
        <w:t>.</w:t>
      </w:r>
    </w:p>
    <w:p w14:paraId="2ED96153" w14:textId="4FC71D1D" w:rsidR="008061A3" w:rsidRPr="00C916FE" w:rsidRDefault="008061A3" w:rsidP="00C916FE">
      <w:pPr>
        <w:spacing w:before="240"/>
        <w:jc w:val="both"/>
        <w:rPr>
          <w:color w:val="000000"/>
          <w:lang w:eastAsia="zh-CN"/>
        </w:rPr>
      </w:pPr>
      <w:r w:rsidRPr="00C916FE">
        <w:rPr>
          <w:shd w:val="clear" w:color="auto" w:fill="FFFFFF"/>
        </w:rPr>
        <w:t xml:space="preserve">    </w:t>
      </w:r>
      <w:r w:rsidR="00C916FE" w:rsidRPr="00C916FE">
        <w:rPr>
          <w:shd w:val="clear" w:color="auto" w:fill="FFFFFF"/>
        </w:rPr>
        <w:t xml:space="preserve">        </w:t>
      </w:r>
      <w:r w:rsidR="00C916FE" w:rsidRPr="00C916FE">
        <w:rPr>
          <w:color w:val="000000"/>
          <w:lang w:eastAsia="zh-CN"/>
        </w:rPr>
        <w:t xml:space="preserve">Environmental regulations, such as electricity market reforms, ultra-low emission standards, environmental taxes, and carbon pricing, aim to reduce environmental degradation and promote sustainability </w:t>
      </w:r>
      <w:r w:rsidR="00C916FE" w:rsidRPr="00C916FE">
        <w:rPr>
          <w:shd w:val="clear" w:color="auto" w:fill="FFFFFF"/>
        </w:rPr>
        <w:fldChar w:fldCharType="begin"/>
      </w:r>
      <w:r w:rsidR="00C916FE" w:rsidRPr="00C916FE">
        <w:rPr>
          <w:shd w:val="clear" w:color="auto" w:fill="FFFFFF"/>
        </w:rPr>
        <w:instrText xml:space="preserve"> ADDIN ZOTERO_ITEM CSL_CITATION {"citationID":"j4x8t2qA","properties":{"formattedCitation":"(Jin et al., 2024)","plainCitation":"(Jin et al., 2024)","noteIndex":0},"citationItems":[{"id":321,"uris":["http://zotero.org/users/local/wH06Ygim/items/9I4892DW"],"itemData":{"id":321,"type":"article-journal","container-title":"International Journal of Environmental Research","DOI":"10.1007/s41742-024-00584-8","ISSN":"1735-6865, 2008-2304","issue":"2","journalAbbreviation":"Int J Environ Res","language":"en","page":"33","source":"DOI.org (Crossref)","title":"Taxing for a Green Future: How China’s Environmental Protection Tax Law Drives Energy Efficiency","title-short":"Taxing for a Green Future","volume":"18","author":[{"family":"Jin","given":"Xi"},{"family":"Wang","given":"Lizheng"},{"family":"Xie","given":"Qiwei"},{"family":"Li","given":"Yongjun"},{"family":"Liang","given":"Liang"}],"issued":{"date-parts":[["2024",4]]}}}],"schema":"https://github.com/citation-style-language/schema/raw/master/csl-citation.json"} </w:instrText>
      </w:r>
      <w:r w:rsidR="00C916FE" w:rsidRPr="00C916FE">
        <w:rPr>
          <w:shd w:val="clear" w:color="auto" w:fill="FFFFFF"/>
        </w:rPr>
        <w:fldChar w:fldCharType="separate"/>
      </w:r>
      <w:r w:rsidR="00C916FE" w:rsidRPr="00C916FE">
        <w:t>(Jin et al., 2024)</w:t>
      </w:r>
      <w:r w:rsidR="00C916FE" w:rsidRPr="00C916FE">
        <w:rPr>
          <w:shd w:val="clear" w:color="auto" w:fill="FFFFFF"/>
        </w:rPr>
        <w:fldChar w:fldCharType="end"/>
      </w:r>
      <w:r w:rsidR="00C916FE" w:rsidRPr="00C916FE">
        <w:rPr>
          <w:color w:val="000000"/>
          <w:lang w:eastAsia="zh-CN"/>
        </w:rPr>
        <w:t>.</w:t>
      </w:r>
      <w:r w:rsidR="00C916FE" w:rsidRPr="00C916FE">
        <w:rPr>
          <w:color w:val="000000"/>
          <w:lang w:eastAsia="zh-CN"/>
        </w:rPr>
        <w:t xml:space="preserve"> </w:t>
      </w:r>
      <w:r w:rsidR="00C916FE" w:rsidRPr="00C916FE">
        <w:rPr>
          <w:color w:val="000000"/>
          <w:lang w:eastAsia="zh-CN"/>
        </w:rPr>
        <w:t xml:space="preserve">Their impact on power sector efficiency varies. </w:t>
      </w:r>
      <w:r w:rsidR="00C916FE" w:rsidRPr="00C916FE">
        <w:rPr>
          <w:shd w:val="clear" w:color="auto" w:fill="FFFFFF"/>
        </w:rPr>
        <w:fldChar w:fldCharType="begin"/>
      </w:r>
      <w:r w:rsidR="00C916FE" w:rsidRPr="00C916FE">
        <w:rPr>
          <w:shd w:val="clear" w:color="auto" w:fill="FFFFFF"/>
        </w:rPr>
        <w:instrText xml:space="preserve"> ADDIN ZOTERO_ITEM CSL_CITATION {"citationID":"lisvG3HM","properties":{"formattedCitation":"(J. Wang &amp; Wang, 2023)","plainCitation":"(J. Wang &amp; Wang, 2023)","noteIndex":0},"citationItems":[{"id":767,"uris":["http://zotero.org/users/local/wH06Ygim/items/7CVNJQWN"],"itemData":{"id":767,"type":"article-journal","container-title":"Energy Policy","DOI":"10.1016/j.enpol.2023.113722","ISSN":"03014215","journalAbbreviation":"Energy Policy","language":"en","page":"113722","source":"DOI.org (Crossref)","title":"The effect of electricity market reform on energy efficiency in China","volume":"181","author":[{"family":"Wang","given":"Jiexin"},{"family":"Wang","given":"Song"}],"issued":{"date-parts":[["2023",10]]}}}],"schema":"https://github.com/citation-style-language/schema/raw/master/csl-citation.json"} </w:instrText>
      </w:r>
      <w:r w:rsidR="00C916FE" w:rsidRPr="00C916FE">
        <w:rPr>
          <w:shd w:val="clear" w:color="auto" w:fill="FFFFFF"/>
        </w:rPr>
        <w:fldChar w:fldCharType="separate"/>
      </w:r>
      <w:r w:rsidR="00C916FE" w:rsidRPr="00C916FE">
        <w:t>(J. Wang &amp; Wang, 2023)</w:t>
      </w:r>
      <w:r w:rsidR="00C916FE" w:rsidRPr="00C916FE">
        <w:rPr>
          <w:shd w:val="clear" w:color="auto" w:fill="FFFFFF"/>
        </w:rPr>
        <w:fldChar w:fldCharType="end"/>
      </w:r>
      <w:r w:rsidR="00C916FE" w:rsidRPr="00C916FE">
        <w:rPr>
          <w:shd w:val="clear" w:color="auto" w:fill="FFFFFF"/>
        </w:rPr>
        <w:t xml:space="preserve"> </w:t>
      </w:r>
      <w:r w:rsidR="00C916FE" w:rsidRPr="00C916FE">
        <w:rPr>
          <w:color w:val="000000"/>
          <w:lang w:eastAsia="zh-CN"/>
        </w:rPr>
        <w:t xml:space="preserve">found that market reforms improved energy efficiency across 30 Chinese provinces (2010–2019). </w:t>
      </w:r>
      <w:r w:rsidR="00C916FE" w:rsidRPr="00C916FE">
        <w:rPr>
          <w:rFonts w:eastAsia="STIX-Regular"/>
          <w14:ligatures w14:val="standardContextual"/>
        </w:rPr>
        <w:fldChar w:fldCharType="begin"/>
      </w:r>
      <w:r w:rsidR="00C916FE" w:rsidRPr="00C916FE">
        <w:rPr>
          <w:rFonts w:eastAsia="STIX-Regular"/>
          <w14:ligatures w14:val="standardContextual"/>
        </w:rPr>
        <w:instrText xml:space="preserve"> ADDIN ZOTERO_ITEM CSL_CITATION {"citationID":"ifi8oVa3","properties":{"formattedCitation":"(Nakaishi et al., 2023)","plainCitation":"(Nakaishi et al., 2023)","noteIndex":0},"citationItems":[{"id":792,"uris":["http://zotero.org/users/local/wH06Ygim/items/E9J36X8X"],"itemData":{"id":792,"type":"article-journal","container-title":"Energy Economics","DOI":"10.1016/j.eneco.2023.106672","ISSN":"01409883","journalAbbreviation":"Energy Economics","language":"en","page":"106672","source":"DOI.org (Crossref)","title":"Quantifying the health benefits of improving environmental efficiency: A case study from coal power plants in China","title-short":"Quantifying the health benefits of improving environmental efficiency","volume":"121","author":[{"family":"Nakaishi","given":"Tomoaki"},{"family":"Nagashima","given":"Fumiya"},{"family":"Kagawa","given":"Shigemi"},{"family":"Nansai","given":"Keisuke"},{"family":"Chatani","given":"Satoru"}],"issued":{"date-parts":[["2023",5]]}}}],"schema":"https://github.com/citation-style-language/schema/raw/master/csl-citation.json"} </w:instrText>
      </w:r>
      <w:r w:rsidR="00C916FE" w:rsidRPr="00C916FE">
        <w:rPr>
          <w:rFonts w:eastAsia="STIX-Regular"/>
          <w14:ligatures w14:val="standardContextual"/>
        </w:rPr>
        <w:fldChar w:fldCharType="separate"/>
      </w:r>
      <w:r w:rsidR="00C916FE" w:rsidRPr="00C916FE">
        <w:t>(</w:t>
      </w:r>
      <w:proofErr w:type="spellStart"/>
      <w:r w:rsidR="00C916FE" w:rsidRPr="00C916FE">
        <w:t>Nakaishi</w:t>
      </w:r>
      <w:proofErr w:type="spellEnd"/>
      <w:r w:rsidR="00C916FE" w:rsidRPr="00C916FE">
        <w:t xml:space="preserve"> et al., 2023)</w:t>
      </w:r>
      <w:r w:rsidR="00C916FE" w:rsidRPr="00C916FE">
        <w:rPr>
          <w:rFonts w:eastAsia="STIX-Regular"/>
          <w14:ligatures w14:val="standardContextual"/>
        </w:rPr>
        <w:fldChar w:fldCharType="end"/>
      </w:r>
      <w:r w:rsidR="00C916FE" w:rsidRPr="00C916FE">
        <w:rPr>
          <w:color w:val="000000"/>
          <w:lang w:eastAsia="zh-CN"/>
        </w:rPr>
        <w:t xml:space="preserve"> reported enhanced environmental efficiency in 316 coal plants in 2010. However, ultra-low emission standards can reduce productivity due to high compliance costs </w:t>
      </w:r>
      <w:r w:rsidR="00C916FE" w:rsidRPr="00C916FE">
        <w:fldChar w:fldCharType="begin"/>
      </w:r>
      <w:r w:rsidR="00C916FE" w:rsidRPr="00C916FE">
        <w:instrText xml:space="preserve"> ADDIN ZOTERO_ITEM CSL_CITATION {"citationID":"qSICOB3P","properties":{"formattedCitation":"(Tang et al., 2023)","plainCitation":"(Tang et al., 2023)","noteIndex":0},"citationItems":[{"id":774,"uris":["http://zotero.org/users/local/wH06Ygim/items/3RW25MJD"],"itemData":{"id":774,"type":"article-journal","container-title":"Energy Policy","DOI":"10.1016/j.enpol.2022.113412","ISSN":"03014215","journalAbbreviation":"Energy Policy","language":"en","page":"113412","source":"DOI.org (Crossref)","title":"Ultra-low emission standards and corporate production performance: Evidence from Chinese thermal power companies","title-short":"Ultra-low emission standards and corporate production performance","volume":"173","author":[{"family":"Tang","given":"Chang"},{"family":"Qi","given":"Yu"},{"family":"Khan","given":"Naqib Ullah"},{"family":"Tang","given":"Ruwei"},{"family":"Xue","given":"Yan"}],"issued":{"date-parts":[["2023",2]]}}}],"schema":"https://github.com/citation-style-language/schema/raw/master/csl-citation.json"} </w:instrText>
      </w:r>
      <w:r w:rsidR="00C916FE" w:rsidRPr="00C916FE">
        <w:fldChar w:fldCharType="separate"/>
      </w:r>
      <w:r w:rsidR="00C916FE" w:rsidRPr="00C916FE">
        <w:t>(Tang et al., 2023)</w:t>
      </w:r>
      <w:r w:rsidR="00C916FE" w:rsidRPr="00C916FE">
        <w:fldChar w:fldCharType="end"/>
      </w:r>
      <w:r w:rsidR="00C916FE" w:rsidRPr="00C916FE">
        <w:rPr>
          <w:color w:val="000000"/>
          <w:lang w:eastAsia="zh-CN"/>
        </w:rPr>
        <w:t xml:space="preserve">. </w:t>
      </w:r>
      <w:r w:rsidRPr="00C916FE">
        <w:rPr>
          <w:shd w:val="clear" w:color="auto" w:fill="FFFFFF"/>
        </w:rPr>
        <w:t xml:space="preserve">Despite these insights, </w:t>
      </w:r>
      <w:r w:rsidR="00C916FE" w:rsidRPr="00C916FE">
        <w:rPr>
          <w:color w:val="000000"/>
          <w:lang w:eastAsia="zh-CN"/>
        </w:rPr>
        <w:t>l</w:t>
      </w:r>
      <w:r w:rsidR="00C916FE" w:rsidRPr="00C916FE">
        <w:rPr>
          <w:color w:val="000000"/>
          <w:lang w:eastAsia="zh-CN"/>
        </w:rPr>
        <w:t>imited research explores China’s CETS impact on TFPGE in the coal-fired power sector, despite its significant emissions. Regional variations in economic development, energy structures, and mechanisms like environmental resource commitment and clean combustion technology remain underexplored. This study investigates CETS’s influence on TFPGE, focusing on regional heterogeneity, environmental commitment, and technological innovation, providing insights into carbon pricing’s effect on efficiency.</w:t>
      </w:r>
    </w:p>
    <w:p w14:paraId="09BCFD65" w14:textId="77777777" w:rsidR="008061A3" w:rsidRPr="00046F57" w:rsidRDefault="008061A3" w:rsidP="008061A3">
      <w:pPr>
        <w:pStyle w:val="Newparagraph"/>
        <w:jc w:val="both"/>
        <w:rPr>
          <w:shd w:val="clear" w:color="auto" w:fill="FFFFFF"/>
        </w:rPr>
      </w:pPr>
    </w:p>
    <w:p w14:paraId="647777A1" w14:textId="77777777" w:rsidR="008061A3" w:rsidRPr="00834276" w:rsidRDefault="008061A3" w:rsidP="008061A3">
      <w:pPr>
        <w:pStyle w:val="Heading2"/>
      </w:pPr>
      <w:r w:rsidRPr="007F6C04">
        <w:t xml:space="preserve">2.2 Policy background and theoretical hypothesis </w:t>
      </w:r>
    </w:p>
    <w:p w14:paraId="56354A75" w14:textId="77777777" w:rsidR="008061A3" w:rsidRPr="00834276" w:rsidRDefault="008061A3" w:rsidP="008061A3">
      <w:pPr>
        <w:pStyle w:val="Heading3"/>
      </w:pPr>
      <w:r w:rsidRPr="007F6C04">
        <w:t xml:space="preserve">2.2.1 China’s CETS pilot policy </w:t>
      </w:r>
    </w:p>
    <w:p w14:paraId="557644B7" w14:textId="43D8C112" w:rsidR="008061A3" w:rsidRPr="00046F57" w:rsidRDefault="008061A3" w:rsidP="008061A3">
      <w:pPr>
        <w:pStyle w:val="Paragraph"/>
        <w:jc w:val="both"/>
        <w:rPr>
          <w:rFonts w:eastAsia="CMR12"/>
          <w14:ligatures w14:val="standardContextual"/>
        </w:rPr>
      </w:pPr>
      <w:r w:rsidRPr="007F6C04">
        <w:rPr>
          <w:shd w:val="clear" w:color="auto" w:fill="FFFFFF"/>
        </w:rPr>
        <w:t xml:space="preserve">    </w:t>
      </w:r>
      <w:r w:rsidRPr="00046F57">
        <w:rPr>
          <w:shd w:val="clear" w:color="auto" w:fill="FFFFFF"/>
        </w:rPr>
        <w:t xml:space="preserve">China’s CETS, designed to achieve climate change mitigation goals, emerged as a cost-effective alternative to traditional regulatory approaches during the Twelfth Five-Year Plan (2011–2016) </w:t>
      </w:r>
      <w:r w:rsidRPr="00046F57">
        <w:rPr>
          <w:rFonts w:eastAsia="CMR12"/>
          <w14:ligatures w14:val="standardContextual"/>
        </w:rPr>
        <w:fldChar w:fldCharType="begin"/>
      </w:r>
      <w:r w:rsidRPr="00046F57">
        <w:rPr>
          <w:rFonts w:eastAsia="CMR12"/>
          <w14:ligatures w14:val="standardContextual"/>
        </w:rPr>
        <w:instrText xml:space="preserve"> ADDIN ZOTERO_ITEM CSL_CITATION {"citationID":"tPqnZbwJ","properties":{"formattedCitation":"(Bian et al., 2024)","plainCitation":"(Bian et al., 2024)","noteIndex":0},"citationItems":[{"id":508,"uris":["http://zotero.org/users/local/wH06Ygim/items/RDS2C5DN"],"itemData":{"id":508,"type":"article-journal","container-title":"Journal of Cleaner Production","DOI":"10.1016/j.jclepro.2024.140943","ISSN":"09596526","journalAbbreviation":"Journal of Cleaner Production","language":"en","page":"140943","source":"DOI.org (Crossref)","title":"A green path towards sustainable development: The impact of carbon emissions trading system on urban green transformation development","title-short":"A green path towards sustainable development","volume":"442","author":[{"family":"Bian","given":"Zihao"},{"family":"Liu","given":"Jiaxin"},{"family":"Zhang","given":"Yihan"},{"family":"Peng","given":"Butong"},{"family":"Jiao","given":"Jianling"}],"issued":{"date-parts":[["2024",2]]}}}],"schema":"https://github.com/citation-style-language/schema/raw/master/csl-citation.json"} </w:instrText>
      </w:r>
      <w:r w:rsidRPr="00046F57">
        <w:rPr>
          <w:rFonts w:eastAsia="CMR12"/>
          <w14:ligatures w14:val="standardContextual"/>
        </w:rPr>
        <w:fldChar w:fldCharType="separate"/>
      </w:r>
      <w:r w:rsidRPr="00046F57">
        <w:t>(Bian et al., 2024)</w:t>
      </w:r>
      <w:r w:rsidRPr="00046F57">
        <w:rPr>
          <w:rFonts w:eastAsia="CMR12"/>
          <w14:ligatures w14:val="standardContextual"/>
        </w:rPr>
        <w:fldChar w:fldCharType="end"/>
      </w:r>
      <w:r w:rsidRPr="00046F57">
        <w:rPr>
          <w:shd w:val="clear" w:color="auto" w:fill="FFFFFF"/>
        </w:rPr>
        <w:t xml:space="preserve">. Officially launched on October 29, 2011, by the National Development and </w:t>
      </w:r>
      <w:r w:rsidRPr="00046F57">
        <w:rPr>
          <w:shd w:val="clear" w:color="auto" w:fill="FFFFFF"/>
        </w:rPr>
        <w:lastRenderedPageBreak/>
        <w:t xml:space="preserve">Reform Commission, the CETS pilot policy began its first phase in 2013 across seven regions—Beijing, Tianjin, Shanghai, Chongqing, Hubei, Guangdong, and Shenzhen—primarily targeting high-emission sectors like power generation </w:t>
      </w:r>
      <w:r w:rsidR="008872DE">
        <w:rPr>
          <w:shd w:val="clear" w:color="auto" w:fill="FFFFFF"/>
        </w:rPr>
        <w:fldChar w:fldCharType="begin"/>
      </w:r>
      <w:r w:rsidR="008872DE">
        <w:rPr>
          <w:shd w:val="clear" w:color="auto" w:fill="FFFFFF"/>
        </w:rPr>
        <w:instrText xml:space="preserve"> ADDIN ZOTERO_ITEM CSL_CITATION {"citationID":"Ie8rZMgY","properties":{"formattedCitation":"(Y. Wei et al., 2022)","plainCitation":"(Y. Wei et al., 2022)","noteIndex":0},"citationItems":[{"id":725,"uris":["http://zotero.org/users/local/wH06Ygim/items/43UN7J92"],"itemData":{"id":725,"type":"article-journal","container-title":"Journal of Environmental Management","DOI":"10.1016/j.jenvman.2022.115874","ISSN":"03014797","journalAbbreviation":"Journal of Environmental Management","language":"en","page":"115874","source":"DOI.org (Crossref)","title":"Emission trading scheme, technological innovation, and competitiveness: Evidence from China's thermal power enterprises","title-short":"Emission trading scheme, technological innovation, and competitiveness","volume":"320","author":[{"family":"Wei","given":"Yigang"},{"family":"Zhu","given":"Rongqi"},{"family":"Tan","given":"Longyan"}],"issued":{"date-parts":[["2022",10]]}}}],"schema":"https://github.com/citation-style-language/schema/raw/master/csl-citation.json"} </w:instrText>
      </w:r>
      <w:r w:rsidR="008872DE">
        <w:rPr>
          <w:shd w:val="clear" w:color="auto" w:fill="FFFFFF"/>
        </w:rPr>
        <w:fldChar w:fldCharType="separate"/>
      </w:r>
      <w:r w:rsidR="008872DE" w:rsidRPr="008872DE">
        <w:t>(Y. Wei et al., 2022)</w:t>
      </w:r>
      <w:r w:rsidR="008872DE">
        <w:rPr>
          <w:shd w:val="clear" w:color="auto" w:fill="FFFFFF"/>
        </w:rPr>
        <w:fldChar w:fldCharType="end"/>
      </w:r>
      <w:r w:rsidRPr="00046F57">
        <w:rPr>
          <w:shd w:val="clear" w:color="auto" w:fill="FFFFFF"/>
        </w:rPr>
        <w:t xml:space="preserve">. These regions implemented distinct carbon trading systems, creating a quasi-experimental setting ideal for policy evaluation </w:t>
      </w:r>
      <w:r w:rsidR="008872DE">
        <w:rPr>
          <w:shd w:val="clear" w:color="auto" w:fill="FFFFFF"/>
        </w:rPr>
        <w:fldChar w:fldCharType="begin"/>
      </w:r>
      <w:r w:rsidR="008872DE">
        <w:rPr>
          <w:shd w:val="clear" w:color="auto" w:fill="FFFFFF"/>
        </w:rPr>
        <w:instrText xml:space="preserve"> ADDIN ZOTERO_ITEM CSL_CITATION {"citationID":"nhvIjT2Y","properties":{"formattedCitation":"(N. Zhang &amp; Wang, 2024)","plainCitation":"(N. Zhang &amp; Wang, 2024)","noteIndex":0},"citationItems":[{"id":428,"uris":["http://zotero.org/users/local/wH06Ygim/items/EHGQHKG8"],"itemData":{"id":428,"type":"article-journal","container-title":"Energy Economics","DOI":"10.1016/j.eneco.2023.107262","ISSN":"01409883","journalAbbreviation":"Energy Economics","language":"en","page":"107262","source":"DOI.org (Crossref)","title":"Can China's regional carbon market pilots improve power plants' energy efficiency?","volume":"129","author":[{"family":"Zhang","given":"Ning"},{"family":"Wang","given":"Shuo"}],"issued":{"date-parts":[["2024",1]]}}}],"schema":"https://github.com/citation-style-language/schema/raw/master/csl-citation.json"} </w:instrText>
      </w:r>
      <w:r w:rsidR="008872DE">
        <w:rPr>
          <w:shd w:val="clear" w:color="auto" w:fill="FFFFFF"/>
        </w:rPr>
        <w:fldChar w:fldCharType="separate"/>
      </w:r>
      <w:r w:rsidR="008872DE" w:rsidRPr="008872DE">
        <w:t>(N. Zhang &amp; Wang, 2024)</w:t>
      </w:r>
      <w:r w:rsidR="008872DE">
        <w:rPr>
          <w:shd w:val="clear" w:color="auto" w:fill="FFFFFF"/>
        </w:rPr>
        <w:fldChar w:fldCharType="end"/>
      </w:r>
      <w:r w:rsidRPr="00046F57">
        <w:rPr>
          <w:shd w:val="clear" w:color="auto" w:fill="FFFFFF"/>
        </w:rPr>
        <w:t xml:space="preserve">. By January 2021, the Ministry of Ecology and Environment initiated the national ETS trial phase, focusing on fossil fuel power generation and covering over 2,000 emitters and 4 billion tons of CO2, making it the world’s largest ETS. The system enforces government oversight through emissions tracking and verification, promoting accountability and incentivizing decarbonization in the power sector </w:t>
      </w:r>
      <w:r w:rsidRPr="00046F57">
        <w:rPr>
          <w:rFonts w:eastAsia="CMR12"/>
          <w14:ligatures w14:val="standardContextual"/>
        </w:rPr>
        <w:fldChar w:fldCharType="begin"/>
      </w:r>
      <w:r w:rsidRPr="00046F57">
        <w:rPr>
          <w:rFonts w:eastAsia="CMR12"/>
          <w14:ligatures w14:val="standardContextual"/>
        </w:rPr>
        <w:instrText xml:space="preserve"> ADDIN ZOTERO_ITEM CSL_CITATION {"citationID":"hgtLgNt0","properties":{"formattedCitation":"(Ma et al., 2023; N. Zhang &amp; Wang, 2024)","plainCitation":"(Ma et al., 2023; N. Zhang &amp; Wang, 2024)","noteIndex":0},"citationItems":[{"id":756,"uris":["http://zotero.org/users/local/wH06Ygim/items/ZFNDMXBF"],"itemData":{"id":756,"type":"article-journal","container-title":"Energy Economics","DOI":"10.1016/j.eneco.2023.106581","ISSN":"01409883","journalAbbreviation":"Energy Economics","language":"en","page":"106581","source":"DOI.org (Crossref)","title":"Does the carbon emissions trading system reduce carbon emissions by promoting two-way FDI in developing countries? Evidence from Chinese listed companies and cities","title-short":"Does the carbon emissions trading system reduce carbon emissions by promoting two-way FDI in developing countries?","volume":"120","author":[{"family":"Ma","given":"Guangcheng"},{"family":"Qin","given":"Jiahong"},{"family":"Zhang","given":"Yumeng"}],"issued":{"date-parts":[["2023",4]]}}},{"id":428,"uris":["http://zotero.org/users/local/wH06Ygim/items/EHGQHKG8"],"itemData":{"id":428,"type":"article-journal","container-title":"Energy Economics","DOI":"10.1016/j.eneco.2023.107262","ISSN":"01409883","journalAbbreviation":"Energy Economics","language":"en","page":"107262","source":"DOI.org (Crossref)","title":"Can China's regional carbon market pilots improve power plants' energy efficiency?","volume":"129","author":[{"family":"Zhang","given":"Ning"},{"family":"Wang","given":"Shuo"}],"issued":{"date-parts":[["2024",1]]}}}],"schema":"https://github.com/citation-style-language/schema/raw/master/csl-citation.json"} </w:instrText>
      </w:r>
      <w:r w:rsidRPr="00046F57">
        <w:rPr>
          <w:rFonts w:eastAsia="CMR12"/>
          <w14:ligatures w14:val="standardContextual"/>
        </w:rPr>
        <w:fldChar w:fldCharType="separate"/>
      </w:r>
      <w:r w:rsidRPr="00046F57">
        <w:rPr>
          <w:rFonts w:eastAsia="CMR12"/>
        </w:rPr>
        <w:t>(Ma et al., 2023; N. Zhang &amp; Wang, 2024)</w:t>
      </w:r>
      <w:r w:rsidRPr="00046F57">
        <w:rPr>
          <w:rFonts w:eastAsia="CMR12"/>
          <w14:ligatures w14:val="standardContextual"/>
        </w:rPr>
        <w:fldChar w:fldCharType="end"/>
      </w:r>
      <w:r w:rsidRPr="00046F57">
        <w:rPr>
          <w:shd w:val="clear" w:color="auto" w:fill="FFFFFF"/>
        </w:rPr>
        <w:t xml:space="preserve">. As a market-driven policy, the ETS is crucial for decarbonizing China’s power sector and achieving national climate goals </w:t>
      </w:r>
      <w:r w:rsidRPr="00046F57">
        <w:rPr>
          <w:shd w:val="clear" w:color="auto" w:fill="FFFFFF"/>
        </w:rPr>
        <w:fldChar w:fldCharType="begin"/>
      </w:r>
      <w:r w:rsidRPr="00046F57">
        <w:rPr>
          <w:shd w:val="clear" w:color="auto" w:fill="FFFFFF"/>
        </w:rPr>
        <w:instrText xml:space="preserve"> ADDIN ZOTERO_ITEM CSL_CITATION {"citationID":"ZCbCy8WO","properties":{"formattedCitation":"(Cao et al., 2021; Y. Wei et al., 2022)","plainCitation":"(Cao et al., 2021; Y. Wei et al., 2022)","noteIndex":0},"citationItems":[{"id":352,"uris":["http://zotero.org/users/local/wH06Ygim/items/5BAFB2HY"],"itemData":{"id":352,"type":"article-journal","container-title":"Journal of Public Economics","DOI":"10.1016/j.jpubeco.2021.104470","ISSN":"00472727","journalAbbreviation":"Journal of Public Economics","language":"en","page":"104470","source":"DOI.org (Crossref)","title":"When carbon emission trading meets a regulated industry: Evidence from the electricity sector of China","title-short":"When carbon emission trading meets a regulated industry","volume":"200","author":[{"family":"Cao","given":"Jing"},{"family":"Ho","given":"Mun S."},{"family":"Ma","given":"Rong"},{"family":"Teng","given":"Fei"}],"issued":{"date-parts":[["2021",8]]}}},{"id":725,"uris":["http://zotero.org/users/local/wH06Ygim/items/43UN7J92"],"itemData":{"id":725,"type":"article-journal","container-title":"Journal of Environmental Management","DOI":"10.1016/j.jenvman.2022.115874","ISSN":"03014797","journalAbbreviation":"Journal of Environmental Management","language":"en","page":"115874","source":"DOI.org (Crossref)","title":"Emission trading scheme, technological innovation, and competitiveness: Evidence from China's thermal power enterprises","title-short":"Emission trading scheme, technological innovation, and competitiveness","volume":"320","author":[{"family":"Wei","given":"Yigang"},{"family":"Zhu","given":"Rongqi"},{"family":"Tan","given":"Longyan"}],"issued":{"date-parts":[["2022",10]]}}}],"schema":"https://github.com/citation-style-language/schema/raw/master/csl-citation.json"} </w:instrText>
      </w:r>
      <w:r w:rsidRPr="00046F57">
        <w:rPr>
          <w:shd w:val="clear" w:color="auto" w:fill="FFFFFF"/>
        </w:rPr>
        <w:fldChar w:fldCharType="separate"/>
      </w:r>
      <w:r w:rsidRPr="00046F57">
        <w:t>(Cao et al., 2021; Y. Wei et al., 2022)</w:t>
      </w:r>
      <w:r w:rsidRPr="00046F57">
        <w:rPr>
          <w:shd w:val="clear" w:color="auto" w:fill="FFFFFF"/>
        </w:rPr>
        <w:fldChar w:fldCharType="end"/>
      </w:r>
      <w:r w:rsidRPr="00046F57">
        <w:rPr>
          <w:shd w:val="clear" w:color="auto" w:fill="FFFFFF"/>
        </w:rPr>
        <w:t xml:space="preserve">, making its impact a vital research focus. </w:t>
      </w:r>
    </w:p>
    <w:p w14:paraId="353714FF" w14:textId="77777777" w:rsidR="008061A3" w:rsidRPr="00834276" w:rsidRDefault="008061A3" w:rsidP="008061A3">
      <w:pPr>
        <w:pStyle w:val="Heading4Paragraph"/>
      </w:pPr>
      <w:r w:rsidRPr="007F6C04">
        <w:t xml:space="preserve">2.2.1.1 Research on the policy effects of China’s CETS pilot policy </w:t>
      </w:r>
    </w:p>
    <w:p w14:paraId="1D2D3F6C" w14:textId="08FEEABB" w:rsidR="008061A3" w:rsidRDefault="008061A3" w:rsidP="008061A3">
      <w:pPr>
        <w:pStyle w:val="Paragraph"/>
        <w:jc w:val="both"/>
        <w:rPr>
          <w:shd w:val="clear" w:color="auto" w:fill="FFFFFF"/>
        </w:rPr>
      </w:pPr>
      <w:r w:rsidRPr="007F6C04">
        <w:rPr>
          <w:shd w:val="clear" w:color="auto" w:fill="FFFFFF"/>
        </w:rPr>
        <w:t xml:space="preserve">    </w:t>
      </w:r>
      <w:r w:rsidRPr="00046F57">
        <w:rPr>
          <w:shd w:val="clear" w:color="auto" w:fill="FFFFFF"/>
        </w:rPr>
        <w:t xml:space="preserve">China’s CETS pilot policy, reflecting global carbon market characteristics, spans diverse industries, significant greenhouse gas emissions, and varying regional carbon intensities, playing a pivotal role in achieving the country’s carbon neutrality goals </w:t>
      </w:r>
      <w:r w:rsidRPr="00046F57">
        <w:fldChar w:fldCharType="begin"/>
      </w:r>
      <w:r w:rsidRPr="00046F57">
        <w:instrText xml:space="preserve"> ADDIN ZOTERO_ITEM CSL_CITATION {"citationID":"u3JP6Vvy","properties":{"formattedCitation":"(Cong et al., 2024; Q. Wu &amp; Wang, 2022)","plainCitation":"(Cong et al., 2024; Q. Wu &amp; Wang, 2022)","noteIndex":0},"citationItems":[{"id":783,"uris":["http://zotero.org/users/local/wH06Ygim/items/X7HIY9HP"],"itemData":{"id":783,"type":"article-journal","container-title":"Climate Policy","DOI":"10.1080/14693062.2023.2273939","ISSN":"1469-3062, 1752-7457","issue":"4","journalAbbreviation":"Climate Policy","language":"en","page":"558-571","source":"DOI.org (Crossref)","title":"Possible green-technology innovation motivated by China’s pilot carbon market: new evidence from city panel data","title-short":"Possible green-technology innovation motivated by China’s pilot carbon market","volume":"24","author":[{"family":"Cong","given":"Jianhui"},{"family":"Zhang","given":"Weiqiang"},{"family":"Guo","given":"Hongjuan"},{"family":"Zhao","given":"Yongbin"}],"issued":{"date-parts":[["2024",4,20]]}}},{"id":169,"uris":["http://zotero.org/users/local/wH06Ygim/items/J7CZ4I2J"],"itemData":{"id":169,"type":"article-journal","container-title":"Energy Economics","DOI":"10.1016/j.eneco.2022.105990","ISSN":"01409883","journalAbbreviation":"Energy Economics","language":"en","page":"105990","source":"DOI.org (Crossref)","title":"How does carbon emission price stimulate enterprises' total factor productivity? Insights from China's emission trading scheme pilots","title-short":"How does carbon emission price stimulate enterprises' total factor productivity?","volume":"109","author":[{"family":"Wu","given":"Qingyang"},{"family":"Wang","given":"Yanying"}],"issued":{"date-parts":[["2022",5]]}}}],"schema":"https://github.com/citation-style-language/schema/raw/master/csl-citation.json"} </w:instrText>
      </w:r>
      <w:r w:rsidRPr="00046F57">
        <w:fldChar w:fldCharType="separate"/>
      </w:r>
      <w:r w:rsidRPr="00046F57">
        <w:t>(Cong et al., 2024; Q. Wu &amp; Wang, 2022)</w:t>
      </w:r>
      <w:r w:rsidRPr="00046F57">
        <w:fldChar w:fldCharType="end"/>
      </w:r>
      <w:r w:rsidRPr="00046F57">
        <w:rPr>
          <w:shd w:val="clear" w:color="auto" w:fill="FFFFFF"/>
        </w:rPr>
        <w:t xml:space="preserve">. Existing research confirms the CETS’s effectiveness in promoting decarbonization and efficiency gains. For instance, </w:t>
      </w:r>
      <w:r w:rsidRPr="00046F57">
        <w:rPr>
          <w:shd w:val="clear" w:color="auto" w:fill="FFFFFF"/>
        </w:rPr>
        <w:fldChar w:fldCharType="begin"/>
      </w:r>
      <w:r w:rsidRPr="00046F57">
        <w:rPr>
          <w:shd w:val="clear" w:color="auto" w:fill="FFFFFF"/>
        </w:rPr>
        <w:instrText xml:space="preserve"> ADDIN ZOTERO_ITEM CSL_CITATION {"citationID":"AOGKDY1x","properties":{"formattedCitation":"(G. Li et al., 2023)","plainCitation":"(G. Li et al., 2023)","noteIndex":0},"citationItems":[{"id":768,"uris":["http://zotero.org/users/local/wH06Ygim/items/6FFEXHDG"],"itemData":{"id":768,"type":"article-journal","container-title":"Energy Policy","DOI":"10.1016/j.enpol.2023.113543","ISSN":"03014215","journalAbbreviation":"Energy Policy","language":"en","page":"113543","source":"DOI.org (Crossref)","title":"The rebound effect of decarbonization in China’s power sector under the carbon trading scheme","volume":"177","author":[{"family":"Li","given":"Guohao"},{"family":"Niu","given":"Miaomiao"},{"family":"Xiao","given":"Jin"},{"family":"Wu","given":"Jiaqian"},{"family":"Li","given":"Jinkai"}],"issued":{"date-parts":[["2023",6]]}}}],"schema":"https://github.com/citation-style-language/schema/raw/master/csl-citation.json"} </w:instrText>
      </w:r>
      <w:r w:rsidRPr="00046F57">
        <w:rPr>
          <w:shd w:val="clear" w:color="auto" w:fill="FFFFFF"/>
        </w:rPr>
        <w:fldChar w:fldCharType="separate"/>
      </w:r>
      <w:r w:rsidRPr="00046F57">
        <w:t>(G. Li et al., 2023)</w:t>
      </w:r>
      <w:r w:rsidRPr="00046F57">
        <w:rPr>
          <w:shd w:val="clear" w:color="auto" w:fill="FFFFFF"/>
        </w:rPr>
        <w:fldChar w:fldCharType="end"/>
      </w:r>
      <w:r w:rsidRPr="00046F57">
        <w:rPr>
          <w:shd w:val="clear" w:color="auto" w:fill="FFFFFF"/>
        </w:rPr>
        <w:t xml:space="preserve"> found that while the CETS advances decarbonization in the power sector, a rebound effect (0.186–0.866) partially offsets these gains, with lower carbon prices exacerbating this effect, highlighting the need for optimized pricing strategies. Similarly, </w:t>
      </w:r>
      <w:r w:rsidRPr="00046F57">
        <w:fldChar w:fldCharType="begin"/>
      </w:r>
      <w:r w:rsidRPr="00046F57">
        <w:instrText xml:space="preserve"> ADDIN ZOTERO_ITEM CSL_CITATION {"citationID":"pp5bqyeb","properties":{"formattedCitation":"(H. Zhang &amp; Wu, 2022)","plainCitation":"(H. Zhang &amp; Wu, 2022)","noteIndex":0},"citationItems":[{"id":781,"uris":["http://zotero.org/users/local/wH06Ygim/items/NSSYLCSX"],"itemData":{"id":781,"type":"article-journal","abstract":"Promoting the carbon emission trading system has been a crucial measure for China to fulfill its carbon neutrality commitment. Taking the carbon emission trading system implemented in China in 2013 as a quasi-natural experiment, based on the provincial panel data of China from 2005 to 2019, this paper adopts the difference-in-difference (DID) method and the synthetic control method (SCM) to evaluate the impact of the carbon emission trading system on energy conservation and emission reduction in pilot provinces and cities. The research findings reveal that, on the whole, the carbon emission trading system has significantly promoted the process of energy conservation and emission reduction in pilot provinces and cities. Other robustness tests, including the parallel trend test, PSM–DID stationarity test and placebo test have also been passed. Heterogeneity analysis shows that the most significant policy effects occur in Tianjin and Shanghai, followed by Hubei. The emission reduction effect of Guangdong displays a trend of first decreasing and then increasing. The test results demonstrate that the carbon emission trading system can strengthen the process of energy conservation and emission reduction by optimizing the industrial structure and energy structure. In conclusion, policy makers should coordinate the relationship between the government and the market and speed up the transformation of environmental policy from command control type to market incentive type. Meanwhile, improve the property right system and accelerate the promotion of carbon emission trading pilot policies in China according to local conditions. By encouraging technological innovation, a new market-oriented path of energy conservation and emission reduction guided by the enhancement of energy efficiency and the optimization of energy and industrial structures ought to be formed.","container-title":"International Journal of Environmental Research and Public Health","DOI":"10.3390/ijerph19159272","ISSN":"1660-4601","issue":"15","journalAbbreviation":"IJERPH","language":"en","license":"https://creativecommons.org/licenses/by/4.0/","page":"9272","source":"DOI.org (Crossref)","title":"The Energy Saving and Emission Reduction Effect of Carbon Trading Pilot Policy in China: Evidence from a Quasi-Natural Experiment","title-short":"The Energy Saving and Emission Reduction Effect of Carbon Trading Pilot Policy in China","volume":"19","author":[{"family":"Zhang","given":"Huan"},{"family":"Wu","given":"Jingyu"}],"issued":{"date-parts":[["2022",7,28]]}}}],"schema":"https://github.com/citation-style-language/schema/raw/master/csl-citation.json"} </w:instrText>
      </w:r>
      <w:r w:rsidRPr="00046F57">
        <w:fldChar w:fldCharType="separate"/>
      </w:r>
      <w:r w:rsidRPr="00046F57">
        <w:t>(H. Zhang &amp; Wu, 2022)</w:t>
      </w:r>
      <w:r w:rsidRPr="00046F57">
        <w:fldChar w:fldCharType="end"/>
      </w:r>
      <w:r w:rsidRPr="00046F57">
        <w:t xml:space="preserve"> </w:t>
      </w:r>
      <w:r w:rsidRPr="00046F57">
        <w:rPr>
          <w:shd w:val="clear" w:color="auto" w:fill="FFFFFF"/>
        </w:rPr>
        <w:t xml:space="preserve">demonstrated that the CETS significantly enhances energy conservation and emission reductions in pilot regions, while </w:t>
      </w:r>
      <w:r w:rsidRPr="00046F57">
        <w:rPr>
          <w:shd w:val="clear" w:color="auto" w:fill="FFFFFF"/>
        </w:rPr>
        <w:fldChar w:fldCharType="begin"/>
      </w:r>
      <w:r w:rsidRPr="00046F57">
        <w:rPr>
          <w:shd w:val="clear" w:color="auto" w:fill="FFFFFF"/>
        </w:rPr>
        <w:instrText xml:space="preserve"> ADDIN ZOTERO_ITEM CSL_CITATION {"citationID":"HcuJ0sHp","properties":{"formattedCitation":"(N. Zhang &amp; Wang, 2024)","plainCitation":"(N. Zhang &amp; Wang, 2024)","noteIndex":0},"citationItems":[{"id":428,"uris":["http://zotero.org/users/local/wH06Ygim/items/EHGQHKG8"],"itemData":{"id":428,"type":"article-journal","container-title":"Energy Economics","DOI":"10.1016/j.eneco.2023.107262","ISSN":"01409883","journalAbbreviation":"Energy Economics","language":"en","page":"107262","source":"DOI.org (Crossref)","title":"Can China's regional carbon market pilots improve power plants' energy efficiency?","volume":"129","author":[{"family":"Zhang","given":"Ning"},{"family":"Wang","given":"Shuo"}],"issued":{"date-parts":[["2024",1]]}}}],"schema":"https://github.com/citation-style-language/schema/raw/master/csl-citation.json"} </w:instrText>
      </w:r>
      <w:r w:rsidRPr="00046F57">
        <w:rPr>
          <w:shd w:val="clear" w:color="auto" w:fill="FFFFFF"/>
        </w:rPr>
        <w:fldChar w:fldCharType="separate"/>
      </w:r>
      <w:r w:rsidRPr="00046F57">
        <w:t>(N. Zhang &amp; Wang, 2024)</w:t>
      </w:r>
      <w:r w:rsidRPr="00046F57">
        <w:rPr>
          <w:shd w:val="clear" w:color="auto" w:fill="FFFFFF"/>
        </w:rPr>
        <w:fldChar w:fldCharType="end"/>
      </w:r>
      <w:r w:rsidRPr="00046F57">
        <w:rPr>
          <w:shd w:val="clear" w:color="auto" w:fill="FFFFFF"/>
        </w:rPr>
        <w:t xml:space="preserve"> </w:t>
      </w:r>
      <w:r w:rsidRPr="00046F57">
        <w:rPr>
          <w:shd w:val="clear" w:color="auto" w:fill="FFFFFF"/>
        </w:rPr>
        <w:lastRenderedPageBreak/>
        <w:t xml:space="preserve">reported a 0.043 increase in energy efficiency for ETS-participating plants compared to non-ETS ones. Furthermore, </w:t>
      </w:r>
      <w:r w:rsidRPr="00046F57">
        <w:fldChar w:fldCharType="begin"/>
      </w:r>
      <w:r w:rsidRPr="00046F57">
        <w:instrText xml:space="preserve"> ADDIN ZOTERO_ITEM CSL_CITATION {"citationID":"9CYuGY5e","properties":{"formattedCitation":"(B.-C. Xie et al., 2021)","plainCitation":"(B.-C. Xie et al., 2021)","noteIndex":0},"citationItems":[{"id":793,"uris":["http://zotero.org/users/local/wH06Ygim/items/2YZF65GI"],"itemData":{"id":793,"type":"article-journal","container-title":"Environmental Science and Pollution Research","DOI":"10.1007/s11356-020-10237-w","ISSN":"0944-1344, 1614-7499","issue":"2","journalAbbreviation":"Environ Sci Pollut Res","language":"en","page":"1697-1711","source":"DOI.org (Crossref)","title":"Dynamic environmental efficiency analysis of China’s power generation enterprises: a game cross-Malmquist index approach","title-short":"Dynamic environmental efficiency analysis of China’s power generation enterprises","volume":"28","author":[{"family":"Xie","given":"Bai-Chen"},{"family":"Chen","given":"Yun-Fei"},{"family":"Gao","given":"Jie"},{"family":"Zhang","given":"Shuang"}],"issued":{"date-parts":[["2021",1]]}}}],"schema":"https://github.com/citation-style-language/schema/raw/master/csl-citation.json"} </w:instrText>
      </w:r>
      <w:r w:rsidRPr="00046F57">
        <w:fldChar w:fldCharType="separate"/>
      </w:r>
      <w:r w:rsidRPr="00046F57">
        <w:t>(B.-C. Xie et al., 2021)</w:t>
      </w:r>
      <w:r w:rsidRPr="00046F57">
        <w:fldChar w:fldCharType="end"/>
      </w:r>
      <w:r w:rsidRPr="00046F57">
        <w:rPr>
          <w:shd w:val="clear" w:color="auto" w:fill="FFFFFF"/>
        </w:rPr>
        <w:t xml:space="preserve"> showed that CETS pilots improved the dynamic environmental efficiency of power generation firms in competitive markets. Despite these insights, the literature on environmental regulations and total factor productivity reveals mixed findings, particularly for market-based tools like the CETS, with limited focus on its impact on TFPGE in the coal-fired power sector—a critical gap given the sector’s dominance in China’s emissions profile. This study addresses this gap by examining the CETS’s influence on </w:t>
      </w:r>
      <w:r w:rsidR="00C916FE">
        <w:rPr>
          <w:shd w:val="clear" w:color="auto" w:fill="FFFFFF"/>
        </w:rPr>
        <w:t>TF</w:t>
      </w:r>
      <w:r w:rsidRPr="00046F57">
        <w:rPr>
          <w:shd w:val="clear" w:color="auto" w:fill="FFFFFF"/>
        </w:rPr>
        <w:t xml:space="preserve">PGE, incorporating regional heterogeneity, </w:t>
      </w:r>
      <w:r w:rsidR="00C916FE">
        <w:rPr>
          <w:shd w:val="clear" w:color="auto" w:fill="FFFFFF"/>
        </w:rPr>
        <w:t xml:space="preserve">environmental resource commitment, and </w:t>
      </w:r>
      <w:r w:rsidRPr="00046F57">
        <w:rPr>
          <w:shd w:val="clear" w:color="auto" w:fill="FFFFFF"/>
        </w:rPr>
        <w:t>clean combustion technology innovation</w:t>
      </w:r>
      <w:r w:rsidR="00C916FE">
        <w:rPr>
          <w:shd w:val="clear" w:color="auto" w:fill="FFFFFF"/>
        </w:rPr>
        <w:t xml:space="preserve"> </w:t>
      </w:r>
      <w:r w:rsidRPr="00046F57">
        <w:rPr>
          <w:shd w:val="clear" w:color="auto" w:fill="FFFFFF"/>
        </w:rPr>
        <w:t>as mediating mechanism</w:t>
      </w:r>
      <w:r w:rsidR="00C916FE">
        <w:rPr>
          <w:shd w:val="clear" w:color="auto" w:fill="FFFFFF"/>
        </w:rPr>
        <w:t>s</w:t>
      </w:r>
      <w:r w:rsidRPr="00046F57">
        <w:rPr>
          <w:shd w:val="clear" w:color="auto" w:fill="FFFFFF"/>
        </w:rPr>
        <w:t xml:space="preserve">, and the moderating role of </w:t>
      </w:r>
      <w:r w:rsidR="00C916FE">
        <w:rPr>
          <w:shd w:val="clear" w:color="auto" w:fill="FFFFFF"/>
        </w:rPr>
        <w:t>energy</w:t>
      </w:r>
      <w:r w:rsidRPr="00046F57">
        <w:rPr>
          <w:shd w:val="clear" w:color="auto" w:fill="FFFFFF"/>
        </w:rPr>
        <w:t>. This novel conceptual framework</w:t>
      </w:r>
      <w:r w:rsidR="00C916FE">
        <w:rPr>
          <w:shd w:val="clear" w:color="auto" w:fill="FFFFFF"/>
        </w:rPr>
        <w:t xml:space="preserve"> </w:t>
      </w:r>
      <w:r w:rsidRPr="00046F57">
        <w:rPr>
          <w:shd w:val="clear" w:color="auto" w:fill="FFFFFF"/>
        </w:rPr>
        <w:t>offers significant theoretical contributions to environmental and energy economics while providing practical insights for designing effective carbon pricing strategies to enhance efficiency in carbon-intensive industries.</w:t>
      </w:r>
    </w:p>
    <w:p w14:paraId="4AFDA39A" w14:textId="77777777" w:rsidR="008061A3" w:rsidRPr="008061A3" w:rsidRDefault="008061A3" w:rsidP="008061A3">
      <w:pPr>
        <w:pStyle w:val="Newparagraph"/>
      </w:pPr>
    </w:p>
    <w:p w14:paraId="6BE6E255" w14:textId="77777777" w:rsidR="008061A3" w:rsidRPr="008872DE" w:rsidRDefault="008061A3" w:rsidP="008061A3">
      <w:pPr>
        <w:pStyle w:val="Heading3"/>
        <w:rPr>
          <w:sz w:val="26"/>
          <w:szCs w:val="26"/>
        </w:rPr>
      </w:pPr>
      <w:r w:rsidRPr="008872DE">
        <w:rPr>
          <w:sz w:val="26"/>
          <w:szCs w:val="26"/>
        </w:rPr>
        <w:t xml:space="preserve">2.2.2 Research hypothesis </w:t>
      </w:r>
    </w:p>
    <w:p w14:paraId="1385B764" w14:textId="77777777" w:rsidR="008061A3" w:rsidRPr="00046F57" w:rsidRDefault="008061A3" w:rsidP="008061A3">
      <w:pPr>
        <w:pStyle w:val="Paragraph"/>
        <w:jc w:val="both"/>
        <w:rPr>
          <w:rFonts w:eastAsia="CMR12"/>
          <w14:ligatures w14:val="standardContextual"/>
        </w:rPr>
      </w:pPr>
      <w:r w:rsidRPr="007F6C04">
        <w:rPr>
          <w:rFonts w:eastAsia="CMR12"/>
          <w14:ligatures w14:val="standardContextual"/>
        </w:rPr>
        <w:t xml:space="preserve">    </w:t>
      </w:r>
      <w:r w:rsidRPr="00046F57">
        <w:rPr>
          <w:rFonts w:eastAsia="CMR12"/>
          <w14:ligatures w14:val="standardContextual"/>
        </w:rPr>
        <w:t xml:space="preserve">CETS policy has proved to be a cost-effective and significant market-based environmental regulation in China. </w:t>
      </w:r>
      <w:r w:rsidRPr="00046F57">
        <w:rPr>
          <w:shd w:val="clear" w:color="auto" w:fill="FFFFFF"/>
        </w:rPr>
        <w:t xml:space="preserve">The CETS policy drives carbon reduction by encouraging enterprises to invest in cleaner production, fostering sustainable economic growth </w:t>
      </w:r>
      <w:r w:rsidRPr="00046F57">
        <w:rPr>
          <w:rFonts w:eastAsia="CMR12"/>
          <w14:ligatures w14:val="standardContextual"/>
        </w:rPr>
        <w:fldChar w:fldCharType="begin"/>
      </w:r>
      <w:r w:rsidRPr="00046F57">
        <w:rPr>
          <w:rFonts w:eastAsia="CMR12"/>
          <w14:ligatures w14:val="standardContextual"/>
        </w:rPr>
        <w:instrText xml:space="preserve"> ADDIN ZOTERO_ITEM CSL_CITATION {"citationID":"Z3dt1W9k","properties":{"formattedCitation":"(Bai &amp; Ru, 2024; X. Pan et al., 2022)","plainCitation":"(Bai &amp; Ru, 2024; X. Pan et al., 2022)","noteIndex":0},"citationItems":[{"id":602,"uris":["http://zotero.org/users/local/wH06Ygim/items/BYHNCWGX"],"itemData":{"id":602,"type":"article-journal","container-title":"Journal of Environmental Management","DOI":"10.1016/j.jenvman.2022.115228","ISSN":"03014797","journalAbbreviation":"Journal of Environmental Management","language":"en","page":"115228","source":"DOI.org (Crossref)","title":"Effect of Chinese pilots carbon emission trading scheme on enterprises' total factor productivity: The moderating role of government participation and carbon trading market efficiency","title-short":"Effect of Chinese pilots carbon emission trading scheme on enterprises' total factor productivity","volume":"316","author":[{"family":"Pan","given":"Xiongfeng"},{"family":"Pu","given":"Chenxi"},{"family":"Yuan","given":"Sai"},{"family":"Xu","given":"Haitao"}],"issued":{"date-parts":[["2022",8]]}}},{"id":376,"uris":["http://zotero.org/users/local/wH06Ygim/items/KRXAMA2Z"],"itemData":{"id":376,"type":"article-journal","abstract":"We study how the implementation of emissions trading systems (ETSs) impacts emissions reductions and the usage of renewable energy using a panel sample of the largest 100 countries worldwide. Exploiting cross-country variations in ETS implementations, we show that ETS adoption materially reduced greenhouse gas (carbon dioxide) emissions by 12.1% (18.1%). Moreover, ETSs reduced overall emissions by cutting the usage of fossil fuels such as coal by 23.70% while boosting the usage of renewable energy by 61.59%, on average. In contrast, introducing carbon taxes has a less effective impact on emissions reduction. It fails to boost the usage of renewable energy, though elevating tax rates and expanding tax coverage may help enhance the efficacy of carbon taxes.\n            This paper was accepted by Victoria Ivashina, finance.\n            Funding: H. Ru thanks the financial support from the Nanyang Technological University, and Ministry of Education, Singapore, under its Tier 1 RG134/20.\n            Supplemental Material: The online appendix and data files are available at https://doi.org/10.1287/mnsc.2023.03143 .","container-title":"Management Science","DOI":"10.1287/mnsc.2023.03143","ISSN":"0025-1909, 1526-5501","journalAbbreviation":"Management Science","language":"en","page":"mnsc.2023.03143","source":"DOI.org (Crossref)","title":"Carbon Emissions Trading and Environmental Protection: International Evidence","title-short":"Carbon Emissions Trading and Environmental Protection","author":[{"family":"Bai","given":"Jennie"},{"family":"Ru","given":"Hong"}],"issued":{"date-parts":[["2024",3,13]]}}}],"schema":"https://github.com/citation-style-language/schema/raw/master/csl-citation.json"} </w:instrText>
      </w:r>
      <w:r w:rsidRPr="00046F57">
        <w:rPr>
          <w:rFonts w:eastAsia="CMR12"/>
          <w14:ligatures w14:val="standardContextual"/>
        </w:rPr>
        <w:fldChar w:fldCharType="separate"/>
      </w:r>
      <w:r w:rsidRPr="00046F57">
        <w:t>(Bai &amp; Ru, 2024; X. Pan et al., 2022)</w:t>
      </w:r>
      <w:r w:rsidRPr="00046F57">
        <w:rPr>
          <w:rFonts w:eastAsia="CMR12"/>
          <w14:ligatures w14:val="standardContextual"/>
        </w:rPr>
        <w:fldChar w:fldCharType="end"/>
      </w:r>
      <w:r w:rsidRPr="00046F57">
        <w:rPr>
          <w:rFonts w:eastAsia="CMR12"/>
          <w14:ligatures w14:val="standardContextual"/>
        </w:rPr>
        <w:t>.</w:t>
      </w:r>
      <w:r w:rsidRPr="00046F57">
        <w:rPr>
          <w:shd w:val="clear" w:color="auto" w:fill="FFFFFF"/>
        </w:rPr>
        <w:t xml:space="preserve"> It mitigates conflicts between economic development and environmental pollution </w:t>
      </w:r>
      <w:r w:rsidRPr="00046F57">
        <w:rPr>
          <w:rFonts w:eastAsia="CMR12"/>
          <w14:ligatures w14:val="standardContextual"/>
        </w:rPr>
        <w:fldChar w:fldCharType="begin"/>
      </w:r>
      <w:r w:rsidRPr="00046F57">
        <w:rPr>
          <w:rFonts w:eastAsia="CMR12"/>
          <w14:ligatures w14:val="standardContextual"/>
        </w:rPr>
        <w:instrText xml:space="preserve"> ADDIN ZOTERO_ITEM CSL_CITATION {"citationID":"giylLnua","properties":{"formattedCitation":"(Bian et al., 2024)","plainCitation":"(Bian et al., 2024)","noteIndex":0},"citationItems":[{"id":508,"uris":["http://zotero.org/users/local/wH06Ygim/items/RDS2C5DN"],"itemData":{"id":508,"type":"article-journal","container-title":"Journal of Cleaner Production","DOI":"10.1016/j.jclepro.2024.140943","ISSN":"09596526","journalAbbreviation":"Journal of Cleaner Production","language":"en","page":"140943","source":"DOI.org (Crossref)","title":"A green path towards sustainable development: The impact of carbon emissions trading system on urban green transformation development","title-short":"A green path towards sustainable development","volume":"442","author":[{"family":"Bian","given":"Zihao"},{"family":"Liu","given":"Jiaxin"},{"family":"Zhang","given":"Yihan"},{"family":"Peng","given":"Butong"},{"family":"Jiao","given":"Jianling"}],"issued":{"date-parts":[["2024",2]]}}}],"schema":"https://github.com/citation-style-language/schema/raw/master/csl-citation.json"} </w:instrText>
      </w:r>
      <w:r w:rsidRPr="00046F57">
        <w:rPr>
          <w:rFonts w:eastAsia="CMR12"/>
          <w14:ligatures w14:val="standardContextual"/>
        </w:rPr>
        <w:fldChar w:fldCharType="separate"/>
      </w:r>
      <w:r w:rsidRPr="00046F57">
        <w:t>(Bian et al., 2024)</w:t>
      </w:r>
      <w:r w:rsidRPr="00046F57">
        <w:rPr>
          <w:rFonts w:eastAsia="CMR12"/>
          <w14:ligatures w14:val="standardContextual"/>
        </w:rPr>
        <w:fldChar w:fldCharType="end"/>
      </w:r>
      <w:r w:rsidRPr="00046F57">
        <w:rPr>
          <w:shd w:val="clear" w:color="auto" w:fill="FFFFFF"/>
        </w:rPr>
        <w:t xml:space="preserve"> by incentivizing coal-fired power firms to adjust processes, reducing carbon permit costs, and enhancing efficiency. Thus</w:t>
      </w:r>
      <w:r w:rsidRPr="00046F57">
        <w:rPr>
          <w:rFonts w:eastAsia="CMR12"/>
          <w14:ligatures w14:val="standardContextual"/>
        </w:rPr>
        <w:t>, we hypothesize the following.</w:t>
      </w:r>
    </w:p>
    <w:p w14:paraId="0BD92902" w14:textId="77777777" w:rsidR="008061A3" w:rsidRPr="00046F57" w:rsidRDefault="008061A3" w:rsidP="008061A3">
      <w:pPr>
        <w:pStyle w:val="Paragraph"/>
        <w:jc w:val="both"/>
        <w:rPr>
          <w:rFonts w:eastAsia="CMR12"/>
          <w14:ligatures w14:val="standardContextual"/>
        </w:rPr>
      </w:pPr>
      <w:r w:rsidRPr="0031513B">
        <w:rPr>
          <w:rFonts w:eastAsia="CMR12"/>
          <w:sz w:val="20"/>
          <w:szCs w:val="20"/>
          <w14:ligatures w14:val="standardContextual"/>
        </w:rPr>
        <w:t xml:space="preserve">    </w:t>
      </w:r>
      <w:r w:rsidRPr="00046F57">
        <w:rPr>
          <w:rFonts w:eastAsia="CMR12"/>
          <w14:ligatures w14:val="standardContextual"/>
        </w:rPr>
        <w:t>Hypothesis 1: CETS improves the TFPGE of coal-fired power plants in the pilot areas.</w:t>
      </w:r>
    </w:p>
    <w:p w14:paraId="2506F59D" w14:textId="77777777" w:rsidR="008061A3" w:rsidRPr="00046F57" w:rsidRDefault="008061A3" w:rsidP="008061A3">
      <w:pPr>
        <w:autoSpaceDE w:val="0"/>
        <w:autoSpaceDN w:val="0"/>
        <w:adjustRightInd w:val="0"/>
        <w:jc w:val="both"/>
        <w:rPr>
          <w:rFonts w:eastAsia="CMR12"/>
          <w14:ligatures w14:val="standardContextual"/>
        </w:rPr>
      </w:pPr>
    </w:p>
    <w:p w14:paraId="1709513E" w14:textId="77777777" w:rsidR="008061A3" w:rsidRPr="00046F57" w:rsidRDefault="008061A3" w:rsidP="008061A3">
      <w:pPr>
        <w:pStyle w:val="Newparagraph"/>
        <w:jc w:val="both"/>
        <w:rPr>
          <w:rFonts w:eastAsia="CMR12"/>
          <w14:ligatures w14:val="standardContextual"/>
        </w:rPr>
      </w:pPr>
      <w:r w:rsidRPr="00046F57">
        <w:rPr>
          <w:rFonts w:ascii="CMR12" w:eastAsia="CMR12" w:hAnsiTheme="minorHAnsi" w:cs="CMR12"/>
          <w14:ligatures w14:val="standardContextual"/>
        </w:rPr>
        <w:lastRenderedPageBreak/>
        <w:t xml:space="preserve">    </w:t>
      </w:r>
      <w:r w:rsidRPr="00046F57">
        <w:rPr>
          <w:shd w:val="clear" w:color="auto" w:fill="FFFFFF"/>
        </w:rPr>
        <w:t>This study explores CETS policy mechanisms, examining the mediating effects of environmental resource commitment at the regional level, clean combustion technology innovation, and the moderating effect of industrial structure upgrading.</w:t>
      </w:r>
    </w:p>
    <w:p w14:paraId="5B7E7CC1" w14:textId="77777777" w:rsidR="008061A3" w:rsidRPr="008872DE" w:rsidRDefault="008061A3" w:rsidP="008872DE">
      <w:pPr>
        <w:pStyle w:val="Heading4Paragraph"/>
        <w:rPr>
          <w:sz w:val="25"/>
          <w:szCs w:val="25"/>
        </w:rPr>
      </w:pPr>
      <w:r w:rsidRPr="008872DE">
        <w:rPr>
          <w:sz w:val="25"/>
          <w:szCs w:val="25"/>
        </w:rPr>
        <w:t>2.2.2.1 The mediating effect of environmental resource commitment at the local government level</w:t>
      </w:r>
    </w:p>
    <w:p w14:paraId="1E84F206" w14:textId="0C9CBBD8" w:rsidR="008061A3" w:rsidRPr="00046F57" w:rsidRDefault="008061A3" w:rsidP="008061A3">
      <w:pPr>
        <w:pStyle w:val="Paragraph"/>
        <w:jc w:val="both"/>
        <w:rPr>
          <w:shd w:val="clear" w:color="auto" w:fill="FFFFFF"/>
        </w:rPr>
      </w:pPr>
      <w:r w:rsidRPr="007F6C04">
        <w:rPr>
          <w:shd w:val="clear" w:color="auto" w:fill="FFFFFF"/>
        </w:rPr>
        <w:t xml:space="preserve">    </w:t>
      </w:r>
      <w:r w:rsidRPr="00046F57">
        <w:rPr>
          <w:shd w:val="clear" w:color="auto" w:fill="FFFFFF"/>
        </w:rPr>
        <w:t xml:space="preserve">A strong resource base is essential for achieving environmental policy goals, signalling commitment to sustainability </w:t>
      </w:r>
      <w:r w:rsidRPr="00046F57">
        <w:rPr>
          <w:shd w:val="clear" w:color="auto" w:fill="FFFFFF"/>
        </w:rPr>
        <w:fldChar w:fldCharType="begin"/>
      </w:r>
      <w:r w:rsidRPr="00046F57">
        <w:rPr>
          <w:shd w:val="clear" w:color="auto" w:fill="FFFFFF"/>
        </w:rPr>
        <w:instrText xml:space="preserve"> ADDIN ZOTERO_ITEM CSL_CITATION {"citationID":"7ntna0MQ","properties":{"formattedCitation":"(Cho et al., 2023)","plainCitation":"(Cho et al., 2023)","noteIndex":0},"citationItems":[{"id":809,"uris":["http://zotero.org/users/local/wH06Ygim/items/VTGSMK7A"],"itemData":{"id":809,"type":"article-journal","abstract":"Local governments are leading sustainability efforts through a range of initiatives, often voluntarily. While a spate of research exists to explain what drives these voluntary decisions, we are still limited in understanding how localities follow through with the resources to implement their adopted plans. This is particularly the case for environment and climate protection programs that are transboundary in nature and thus require more innovative and longer-term approaches than those that are relatively low-cost and easier to implement with future savings. This research examines local investment in promoting three of these program areas: air quality, biodiversity preservation, and ecological restoration. It investigates how local governments vary according to resource commitment and what factors explain those variations. We find several factors significant, including community capacity, political ideology, and institutional arrangements for service production and delivery. Variations are, however, found across different types of resource commitment, suggesting a more complex picture of local resource availability for advancing sustainability efforts.","container-title":"Urban Affairs Review","DOI":"10.1177/10780874211064976","ISSN":"1078-0874, 1552-8332","issue":"2","journalAbbreviation":"Urban Affairs Review","language":"en","page":"447-475","source":"DOI.org (Crossref)","title":"Local Government's Resource Commitment to Environmental Sustainability: Capacity, Conservatism, and Contractual Dynamics","title-short":"Local Government's Resource Commitment to Environmental Sustainability","volume":"59","author":[{"family":"Cho","given":"Wonhyuk"},{"family":"Kim","given":"Daewook"},{"family":"Y. S. Park","given":"Angela"}],"issued":{"date-parts":[["2023",3]]}}}],"schema":"https://github.com/citation-style-language/schema/raw/master/csl-citation.json"} </w:instrText>
      </w:r>
      <w:r w:rsidRPr="00046F57">
        <w:rPr>
          <w:shd w:val="clear" w:color="auto" w:fill="FFFFFF"/>
        </w:rPr>
        <w:fldChar w:fldCharType="separate"/>
      </w:r>
      <w:r w:rsidRPr="00046F57">
        <w:t>(Cho et al., 2023)</w:t>
      </w:r>
      <w:r w:rsidRPr="00046F57">
        <w:rPr>
          <w:shd w:val="clear" w:color="auto" w:fill="FFFFFF"/>
        </w:rPr>
        <w:fldChar w:fldCharType="end"/>
      </w:r>
      <w:r w:rsidRPr="00046F57">
        <w:rPr>
          <w:shd w:val="clear" w:color="auto" w:fill="FFFFFF"/>
        </w:rPr>
        <w:t>. The resource-based view</w:t>
      </w:r>
      <w:r w:rsidR="00C7155C">
        <w:rPr>
          <w:shd w:val="clear" w:color="auto" w:fill="FFFFFF"/>
        </w:rPr>
        <w:t xml:space="preserve"> </w:t>
      </w:r>
      <w:r w:rsidRPr="00046F57">
        <w:rPr>
          <w:shd w:val="clear" w:color="auto" w:fill="FFFFFF"/>
        </w:rPr>
        <w:t xml:space="preserve">posits that strategic resource allocation creates lasting benefits, boosting performance </w:t>
      </w:r>
      <w:r w:rsidRPr="00046F57">
        <w:rPr>
          <w:shd w:val="clear" w:color="auto" w:fill="FFFFFF"/>
        </w:rPr>
        <w:fldChar w:fldCharType="begin"/>
      </w:r>
      <w:r w:rsidRPr="00046F57">
        <w:rPr>
          <w:shd w:val="clear" w:color="auto" w:fill="FFFFFF"/>
        </w:rPr>
        <w:instrText xml:space="preserve"> ADDIN ZOTERO_ITEM CSL_CITATION {"citationID":"O6GkFZQt","properties":{"formattedCitation":"(Bendig et al., 2023)","plainCitation":"(Bendig et al., 2023)","noteIndex":0},"citationItems":[{"id":808,"uris":["http://zotero.org/users/local/wH06Ygim/items/3RCIUSCB"],"itemData":{"id":808,"type":"article-journal","container-title":"Technological Forecasting and Social Change","DOI":"10.1016/j.techfore.2022.122272","ISSN":"00401625","journalAbbreviation":"Technological Forecasting and Social Change","language":"en","page":"122272","source":"DOI.org (Crossref)","title":"Digital orientation and environmental performance in times of technological change","volume":"188","author":[{"family":"Bendig","given":"David"},{"family":"Schulz","given":"Colin"},{"family":"Theis","given":"Lukas"},{"family":"Raff","given":"Stefan"}],"issued":{"date-parts":[["2023",3]]}}}],"schema":"https://github.com/citation-style-language/schema/raw/master/csl-citation.json"} </w:instrText>
      </w:r>
      <w:r w:rsidRPr="00046F57">
        <w:rPr>
          <w:shd w:val="clear" w:color="auto" w:fill="FFFFFF"/>
        </w:rPr>
        <w:fldChar w:fldCharType="separate"/>
      </w:r>
      <w:r w:rsidRPr="00046F57">
        <w:t>(Bendig et al., 2023)</w:t>
      </w:r>
      <w:r w:rsidRPr="00046F57">
        <w:rPr>
          <w:shd w:val="clear" w:color="auto" w:fill="FFFFFF"/>
        </w:rPr>
        <w:fldChar w:fldCharType="end"/>
      </w:r>
      <w:r w:rsidRPr="00046F57">
        <w:rPr>
          <w:shd w:val="clear" w:color="auto" w:fill="FFFFFF"/>
        </w:rPr>
        <w:t xml:space="preserve">. Resource advantage theory emphasizes that leveraging resources drives innovation </w:t>
      </w:r>
      <w:r w:rsidRPr="00046F57">
        <w:rPr>
          <w:shd w:val="clear" w:color="auto" w:fill="FFFFFF"/>
        </w:rPr>
        <w:fldChar w:fldCharType="begin"/>
      </w:r>
      <w:r w:rsidRPr="00046F57">
        <w:rPr>
          <w:shd w:val="clear" w:color="auto" w:fill="FFFFFF"/>
        </w:rPr>
        <w:instrText xml:space="preserve"> ADDIN ZOTERO_ITEM CSL_CITATION {"citationID":"5Mpn0WU1","properties":{"formattedCitation":"(Varadarajan, 2023)","plainCitation":"(Varadarajan, 2023)","noteIndex":0},"citationItems":[{"id":806,"uris":["http://zotero.org/users/local/wH06Ygim/items/A89V32ZJ"],"itemData":{"id":806,"type":"article-journal","container-title":"Journal of Business Research","DOI":"10.1016/j.jbusres.2023.113713","ISSN":"01482963","journalAbbreviation":"Journal of Business Research","language":"en","page":"113713","source":"DOI.org (Crossref)","title":"Resource advantage theory, resource based theory, and theory of multimarket competition: Does multimarket rivalry restrain firms from leveraging resource Advantages?","title-short":"Resource advantage theory, resource based theory, and theory of multimarket competition","volume":"160","author":[{"family":"Varadarajan","given":"Rajan"}],"issued":{"date-parts":[["2023",5]]}}}],"schema":"https://github.com/citation-style-language/schema/raw/master/csl-citation.json"} </w:instrText>
      </w:r>
      <w:r w:rsidRPr="00046F57">
        <w:rPr>
          <w:shd w:val="clear" w:color="auto" w:fill="FFFFFF"/>
        </w:rPr>
        <w:fldChar w:fldCharType="separate"/>
      </w:r>
      <w:r w:rsidRPr="00046F57">
        <w:t>(Varadarajan, 2023)</w:t>
      </w:r>
      <w:r w:rsidRPr="00046F57">
        <w:rPr>
          <w:shd w:val="clear" w:color="auto" w:fill="FFFFFF"/>
        </w:rPr>
        <w:fldChar w:fldCharType="end"/>
      </w:r>
      <w:r w:rsidRPr="00046F57">
        <w:rPr>
          <w:shd w:val="clear" w:color="auto" w:fill="FFFFFF"/>
        </w:rPr>
        <w:t xml:space="preserve">. In modern firms, environmental commitments are core strategies, with resource allocation supporting sustainable practices </w:t>
      </w:r>
      <w:r w:rsidRPr="00046F57">
        <w:rPr>
          <w:shd w:val="clear" w:color="auto" w:fill="FFFFFF"/>
        </w:rPr>
        <w:fldChar w:fldCharType="begin"/>
      </w:r>
      <w:r w:rsidRPr="00046F57">
        <w:rPr>
          <w:shd w:val="clear" w:color="auto" w:fill="FFFFFF"/>
        </w:rPr>
        <w:instrText xml:space="preserve"> ADDIN ZOTERO_ITEM CSL_CITATION {"citationID":"88bHBEnq","properties":{"formattedCitation":"(Y. Li, 2014)","plainCitation":"(Y. Li, 2014)","noteIndex":0},"citationItems":[{"id":512,"uris":["http://zotero.org/users/local/wH06Ygim/items/2G47R3LM"],"itemData":{"id":512,"type":"article-journal","container-title":"Journal of Cleaner Production","DOI":"10.1016/j.jclepro.2013.11.044","ISSN":"09596526","journalAbbreviation":"Journal of Cleaner Production","language":"en","page":"450-458","source":"DOI.org (Crossref)","title":"Environmental innovation practices and performance: moderating effect of resource commitment","title-short":"Environmental innovation practices and performance","volume":"66","author":[{"family":"Li","given":"Yina"}],"issued":{"date-parts":[["2014",3]]}}}],"schema":"https://github.com/citation-style-language/schema/raw/master/csl-citation.json"} </w:instrText>
      </w:r>
      <w:r w:rsidRPr="00046F57">
        <w:rPr>
          <w:shd w:val="clear" w:color="auto" w:fill="FFFFFF"/>
        </w:rPr>
        <w:fldChar w:fldCharType="separate"/>
      </w:r>
      <w:r w:rsidRPr="00046F57">
        <w:t>(Y. Li, 2014)</w:t>
      </w:r>
      <w:r w:rsidRPr="00046F57">
        <w:rPr>
          <w:shd w:val="clear" w:color="auto" w:fill="FFFFFF"/>
        </w:rPr>
        <w:fldChar w:fldCharType="end"/>
      </w:r>
      <w:r w:rsidRPr="00046F57">
        <w:rPr>
          <w:shd w:val="clear" w:color="auto" w:fill="FFFFFF"/>
        </w:rPr>
        <w:t xml:space="preserve">. Firms with robust ESG strategies innovate to enhance efficiency and cut emissions, as shown in a study of 5,102 Chinese firms from 2006 to 2021 </w:t>
      </w:r>
      <w:r w:rsidRPr="00046F57">
        <w:rPr>
          <w:rFonts w:eastAsia="STIX-Regular"/>
          <w14:ligatures w14:val="standardContextual"/>
        </w:rPr>
        <w:fldChar w:fldCharType="begin"/>
      </w:r>
      <w:r w:rsidRPr="00046F57">
        <w:rPr>
          <w:rFonts w:eastAsia="STIX-Regular"/>
          <w14:ligatures w14:val="standardContextual"/>
        </w:rPr>
        <w:instrText xml:space="preserve"> ADDIN ZOTERO_ITEM CSL_CITATION {"citationID":"l6iUhNCr","properties":{"formattedCitation":"(Kenneth David et al., 2024)","plainCitation":"(Kenneth David et al., 2024)","noteIndex":0},"citationItems":[{"id":790,"uris":["http://zotero.org/users/local/wH06Ygim/items/GPDVP4BU"],"itemData":{"id":790,"type":"article-journal","container-title":"Journal of Environmental Management","DOI":"10.1016/j.jenvman.2023.119529","ISSN":"03014797","journalAbbreviation":"Journal of Environmental Management","language":"en","page":"119529","source":"DOI.org (Crossref)","title":"Environmental commitments and Innovation in China's corporate landscape: An analysis of ESG governance strategies","title-short":"Environmental commitments and Innovation in China's corporate landscape","volume":"349","author":[{"family":"Kenneth David","given":"Lemuel"},{"family":"Wang","given":"Jianling"},{"family":"Angel","given":"Vanessa"},{"family":"Luo","given":"Meiling"}],"issued":{"date-parts":[["2024",1]]}}}],"schema":"https://github.com/citation-style-language/schema/raw/master/csl-citation.json"} </w:instrText>
      </w:r>
      <w:r w:rsidRPr="00046F57">
        <w:rPr>
          <w:rFonts w:eastAsia="STIX-Regular"/>
          <w14:ligatures w14:val="standardContextual"/>
        </w:rPr>
        <w:fldChar w:fldCharType="separate"/>
      </w:r>
      <w:r w:rsidRPr="00046F57">
        <w:t>(Kenneth David et al., 2024)</w:t>
      </w:r>
      <w:r w:rsidRPr="00046F57">
        <w:rPr>
          <w:rFonts w:eastAsia="STIX-Regular"/>
          <w14:ligatures w14:val="standardContextual"/>
        </w:rPr>
        <w:fldChar w:fldCharType="end"/>
      </w:r>
      <w:r w:rsidRPr="00046F57">
        <w:rPr>
          <w:shd w:val="clear" w:color="auto" w:fill="FFFFFF"/>
        </w:rPr>
        <w:t xml:space="preserve">.  </w:t>
      </w:r>
    </w:p>
    <w:p w14:paraId="6D4597F5" w14:textId="2C1783E3" w:rsidR="008061A3" w:rsidRPr="00046F57" w:rsidRDefault="008061A3" w:rsidP="008061A3">
      <w:pPr>
        <w:pStyle w:val="Newparagraph"/>
        <w:jc w:val="both"/>
        <w:rPr>
          <w:shd w:val="clear" w:color="auto" w:fill="FFFFFF"/>
        </w:rPr>
      </w:pPr>
      <w:r w:rsidRPr="00046F57">
        <w:rPr>
          <w:shd w:val="clear" w:color="auto" w:fill="FFFFFF"/>
        </w:rPr>
        <w:t xml:space="preserve">     Improving efficiency in the coal-fired power sector is costly and risky, requiring government support </w:t>
      </w:r>
      <w:r w:rsidRPr="00046F57">
        <w:fldChar w:fldCharType="begin"/>
      </w:r>
      <w:r w:rsidRPr="00046F57">
        <w:instrText xml:space="preserve"> ADDIN ZOTERO_ITEM CSL_CITATION {"citationID":"0DxnBFVP","properties":{"formattedCitation":"(Kabeyi &amp; Olanrewaju, 2022)","plainCitation":"(Kabeyi &amp; Olanrewaju, 2022)","noteIndex":0},"citationItems":[{"id":776,"uris":["http://zotero.org/users/local/wH06Ygim/items/P6CB7ZN3"],"itemData":{"id":776,"type":"article-journal","abstract":"The greatest sustainability challenge facing humanity today is the greenhouse gas emissions and the global climate change with fossil fuels led by coal, natural gas and oil contributing 61.3% of global electricity generation in the year 2020. The cumulative effect of the Stockholm, Rio, and Johannesburg conferences identified sustainable energy development (SED) as a very important factor in the sustainable global development. This study reviews energy transition strategies and proposes a roadmap for sustainable energy transition for sustainable electricity generation and supply in line with commitments of the Paris Agreement aimed at reducing greenhouse gas emissions and limiting the rise in global average temperature to 1.5°C above the preindustrial level. The sustainable transition strategies typically consist of three major technological changes namely, energy savings on the demand side, generation efficiency at production level and fossil fuel substitution by various renewable energy sources and low carbon nuclear. For the transition remain technically and economically feasible and beneficial, policy initiatives are necessary to steer the global electricity transition towards a sustainable energy and electricity system. Large-scale renewable energy adoption should include measures to improve efficiency of existing nonrenewable sources which still have an important cost reduction and stabilization role. A resilient grid with advanced energy storage for storage and absorption of variable renewables should also be part of the transition strategies. From this study, it was noted that whereas sustainable development has social, economic, and environmental pillars, energy sustainability is best analysed by five-dimensional approach consisting of environmental, economic, social, technical, and institutional/political sustainability to determine resource sustainability. The energy transition requires new technology for maximum use of the abundant but intermittent renewable sources a sustainable mix with limited nonrenewable sources optimized to minimize cost and environmental impact but maintained quality, stability, and flexibility of an electricity supply system. Technologies needed for the transition are those that use conventional mitigation, negative emissions technologies which capture and sequester carbon emissions and finally technologies which alter the global atmospheric radiative energy budget to stabilize and reduce global average temperature. A sustainable electricity system needs facilitating technology, policy, strategies and infrastructure like smart grids, and models with an appropriate mix of both renewable and low carbon energy sources.","container-title":"Frontiers in Energy Research","DOI":"10.3389/fenrg.2021.743114","ISSN":"2296-598X","journalAbbreviation":"Front. Energy Res.","page":"743114","source":"DOI.org (Crossref)","title":"Sustainable Energy Transition for Renewable and Low Carbon Grid Electricity Generation and Supply","volume":"9","author":[{"family":"Kabeyi","given":"Moses Jeremiah Barasa"},{"family":"Olanrewaju","given":"Oludolapo Akanni"}],"issued":{"date-parts":[["2022",3,24]]}}}],"schema":"https://github.com/citation-style-language/schema/raw/master/csl-citation.json"} </w:instrText>
      </w:r>
      <w:r w:rsidRPr="00046F57">
        <w:fldChar w:fldCharType="separate"/>
      </w:r>
      <w:r w:rsidRPr="00046F57">
        <w:t>(Kabeyi &amp; Olanrewaju, 2022)</w:t>
      </w:r>
      <w:r w:rsidRPr="00046F57">
        <w:fldChar w:fldCharType="end"/>
      </w:r>
      <w:r w:rsidRPr="00046F57">
        <w:rPr>
          <w:shd w:val="clear" w:color="auto" w:fill="FFFFFF"/>
        </w:rPr>
        <w:t>. This study examines how local government Environmental Resource Commitment (ERC), measured as provincial environmental policy efforts and green technology investments, mediates the effect of the CETS on TFPGE. Per Porter’s hypothesis, CETS encourages provinces to increase ERC through green energy practices, enhancing efficiency and reducing emissions. Provinces with high ERC often have robust monitoring and enforcement systems, ensuring more efficient power plant operations and better TF</w:t>
      </w:r>
      <w:r w:rsidR="00C7155C">
        <w:rPr>
          <w:shd w:val="clear" w:color="auto" w:fill="FFFFFF"/>
        </w:rPr>
        <w:t>P</w:t>
      </w:r>
      <w:r w:rsidRPr="00046F57">
        <w:rPr>
          <w:shd w:val="clear" w:color="auto" w:fill="FFFFFF"/>
        </w:rPr>
        <w:t xml:space="preserve">GE outcomes due to prior investments in infrastructure and policies </w:t>
      </w:r>
      <w:r w:rsidRPr="00046F57">
        <w:fldChar w:fldCharType="begin"/>
      </w:r>
      <w:r w:rsidRPr="00046F57">
        <w:instrText xml:space="preserve"> ADDIN ZOTERO_ITEM CSL_CITATION {"citationID":"EwKHAp0u","properties":{"formattedCitation":"(D. Wang et al., 2024)","plainCitation":"(D. Wang et al., 2024)","noteIndex":0},"citationItems":[{"id":786,"uris":["http://zotero.org/users/local/wH06Ygim/items/GMYKGC72"],"itemData":{"id":786,"type":"article-journal","container-title":"Energy","DOI":"10.1016/j.energy.2024.133157","ISSN":"03605442","journalAbbreviation":"Energy","language":"en","page":"133157","source":"DOI.org (Crossref)","title":"Can carbon market efficiency promote green technology innovation for Chinese companies?","volume":"309","author":[{"family":"Wang","given":"Dan"},{"family":"Sun","given":"Mili"},{"family":"Meng","given":"Bo"},{"family":"An","given":"Yunbi"},{"family":"Cheng","given":"Wenyin"},{"family":"Ye","given":"Bin"}],"issued":{"date-parts":[["2024",11]]}}}],"schema":"https://github.com/citation-style-language/schema/raw/master/csl-citation.json"} </w:instrText>
      </w:r>
      <w:r w:rsidRPr="00046F57">
        <w:fldChar w:fldCharType="separate"/>
      </w:r>
      <w:r w:rsidRPr="00046F57">
        <w:t>(D. Wang et al., 2024)</w:t>
      </w:r>
      <w:r w:rsidRPr="00046F57">
        <w:fldChar w:fldCharType="end"/>
      </w:r>
      <w:r w:rsidRPr="00046F57">
        <w:t xml:space="preserve">. </w:t>
      </w:r>
      <w:r w:rsidRPr="00046F57">
        <w:rPr>
          <w:shd w:val="clear" w:color="auto" w:fill="FFFFFF"/>
        </w:rPr>
        <w:t xml:space="preserve">Research shows that CETS enhances R&amp;D intensity and fixed-asset investment efficiency in </w:t>
      </w:r>
      <w:r w:rsidRPr="00046F57">
        <w:rPr>
          <w:shd w:val="clear" w:color="auto" w:fill="FFFFFF"/>
        </w:rPr>
        <w:lastRenderedPageBreak/>
        <w:t xml:space="preserve">regulated firms, curbing wasteful spending </w:t>
      </w:r>
      <w:r w:rsidRPr="00046F57">
        <w:fldChar w:fldCharType="begin"/>
      </w:r>
      <w:r w:rsidRPr="00046F57">
        <w:instrText xml:space="preserve"> ADDIN ZOTERO_ITEM CSL_CITATION {"citationID":"1hMGgvfh","properties":{"formattedCitation":"(H. Dong et al., 2022)","plainCitation":"(H. Dong et al., 2022)","noteIndex":0},"citationItems":[{"id":735,"uris":["http://zotero.org/users/local/wH06Ygim/items/KDHLZSHD"],"itemData":{"id":735,"type":"article-journal","container-title":"Journal of Environmental Management","DOI":"10.1016/j.jenvman.2022.114494","ISSN":"03014797","journalAbbreviation":"Journal of Environmental Management","language":"en","page":"114494","source":"DOI.org (Crossref)","title":"Fixed asset changes with carbon regulation: The cases of China","title-short":"Fixed asset changes with carbon regulation","volume":"306","author":[{"family":"Dong","given":"Hanmin"},{"family":"Liu","given":"Wei"},{"family":"Liu","given":"Yishuang"},{"family":"Xiong","given":"Zhonghui"}],"issued":{"date-parts":[["2022",3]]}}}],"schema":"https://github.com/citation-style-language/schema/raw/master/csl-citation.json"} </w:instrText>
      </w:r>
      <w:r w:rsidRPr="00046F57">
        <w:fldChar w:fldCharType="separate"/>
      </w:r>
      <w:r w:rsidRPr="00046F57">
        <w:t>(H. Dong et al., 2022)</w:t>
      </w:r>
      <w:r w:rsidRPr="00046F57">
        <w:fldChar w:fldCharType="end"/>
      </w:r>
      <w:r w:rsidRPr="00046F57">
        <w:rPr>
          <w:shd w:val="clear" w:color="auto" w:fill="FFFFFF"/>
        </w:rPr>
        <w:t xml:space="preserve">, while local government penalties further drive green technology innovation </w:t>
      </w:r>
      <w:r w:rsidRPr="00046F57">
        <w:fldChar w:fldCharType="begin"/>
      </w:r>
      <w:r w:rsidRPr="00046F57">
        <w:instrText xml:space="preserve"> ADDIN ZOTERO_ITEM CSL_CITATION {"citationID":"n1kdlorZ","properties":{"formattedCitation":"(Ou et al., 2024)","plainCitation":"(Ou et al., 2024)","noteIndex":0},"citationItems":[{"id":784,"uris":["http://zotero.org/users/local/wH06Ygim/items/HIFZEIQ2"],"itemData":{"id":784,"type":"article-journal","abstract":"The transformation of Chinese coal power firms is crucial for achieving carbon emission reduction (CER) goals, and promoting green technology innovation (GTI) is the key for the achievement. To examine the interactive mechanism of central and local government regulatory behavior and coal power firms’ GTI behavior under China’s dual-regulatory system, this paper introduces environmental impact coefficients and develops a tripartite evolutionary game model (EGM) from the perspective of CER. The influencing factors and interactive relationships among them are analyzed. Additionally, through numerical simulation, the impacts of changes in central and local government S&amp;P (subsidies and penalties) on the evolution of the system are also obtained. The findings indicate the following: (1) Enhancing the initial willingness can accelerate the system’s attainment of an optimal state. The local government exhibits a slower pace of evolution. Coal power firms are more sensitive to changes in the initial willingness of the central government. (2) The local government is more sensitive to changes in the central government’s S&amp;P intensity rather than changes in the central government’s initial willingness. Low levels of central government S&amp;P and high penalties are ineffective, while high subsidies can lead to a sudden decrease in the local government’s willingness. (3) Local government penalties have a positive correlation with their effectiveness in promoting GTI, whereas high subsidies are ineffective. (4) The separate implementation of subsidies or penalties by either the central or the local government is detrimental to achieving the optimal state. Such an approach renders the fluctuant or negative behavior of the local government and coal power firms.","container-title":"Energies","DOI":"10.3390/en17030607","ISSN":"1996-1073","issue":"3","journalAbbreviation":"Energies","language":"en","license":"https://creativecommons.org/licenses/by/4.0/","page":"607","source":"DOI.org (Crossref)","title":"An Evolutionary Game Study on Green Technology Innovation of Coal Power Firms under the Dual-Regulatory System","volume":"17","author":[{"family":"Ou","given":"Kai"},{"family":"Shi","given":"Yu"},{"family":"Zhou","given":"Wenwen"}],"issued":{"date-parts":[["2024",1,26]]}}}],"schema":"https://github.com/citation-style-language/schema/raw/master/csl-citation.json"} </w:instrText>
      </w:r>
      <w:r w:rsidRPr="00046F57">
        <w:fldChar w:fldCharType="separate"/>
      </w:r>
      <w:r w:rsidRPr="00046F57">
        <w:t>(Ou et al., 2024)</w:t>
      </w:r>
      <w:r w:rsidRPr="00046F57">
        <w:fldChar w:fldCharType="end"/>
      </w:r>
      <w:r w:rsidRPr="00046F57">
        <w:rPr>
          <w:shd w:val="clear" w:color="auto" w:fill="FFFFFF"/>
        </w:rPr>
        <w:t xml:space="preserve">. Strong ERC enables effective management of the carbon market, including setting quotas and providing guidance, encouraging compliance among regulated power plants, and motivating non-targeted power plants to engage in carbon trading. This, in turn, sustains investments in emission-reducing technologies, boosting TFPGE in the regional coal-fired power sector. We propose that ERC significantly mediates the CETS policy’s impact on improving TFPGE. </w:t>
      </w:r>
      <w:r w:rsidRPr="00046F57">
        <w:rPr>
          <w:rFonts w:eastAsia="CMR12"/>
          <w14:ligatures w14:val="standardContextual"/>
        </w:rPr>
        <w:t>Given this, this paper proposes:</w:t>
      </w:r>
    </w:p>
    <w:p w14:paraId="21E392A8" w14:textId="77777777" w:rsidR="008061A3" w:rsidRPr="00046F57" w:rsidRDefault="008061A3" w:rsidP="008061A3">
      <w:pPr>
        <w:pStyle w:val="Newparagraph"/>
        <w:jc w:val="both"/>
        <w:rPr>
          <w:rFonts w:eastAsia="CMR12"/>
          <w14:ligatures w14:val="standardContextual"/>
        </w:rPr>
      </w:pPr>
      <w:r w:rsidRPr="00046F57">
        <w:rPr>
          <w:rFonts w:eastAsia="CMR12"/>
          <w14:ligatures w14:val="standardContextual"/>
        </w:rPr>
        <w:t xml:space="preserve">    Hypothesis 2: </w:t>
      </w:r>
      <w:r w:rsidRPr="00046F57">
        <w:rPr>
          <w:shd w:val="clear" w:color="auto" w:fill="FFFFFF"/>
        </w:rPr>
        <w:t>CETS enhances TFPGE through the mediating effect of increased local government ERC</w:t>
      </w:r>
      <w:r w:rsidRPr="00046F57">
        <w:rPr>
          <w:rFonts w:eastAsia="CMR12"/>
          <w14:ligatures w14:val="standardContextual"/>
        </w:rPr>
        <w:t xml:space="preserve">. </w:t>
      </w:r>
    </w:p>
    <w:p w14:paraId="327E0C3A" w14:textId="77777777" w:rsidR="008061A3" w:rsidRPr="008872DE" w:rsidRDefault="008061A3" w:rsidP="008872DE">
      <w:pPr>
        <w:pStyle w:val="Heading4Paragraph"/>
        <w:rPr>
          <w:sz w:val="25"/>
          <w:szCs w:val="25"/>
        </w:rPr>
      </w:pPr>
      <w:r w:rsidRPr="008872DE">
        <w:rPr>
          <w:sz w:val="25"/>
          <w:szCs w:val="25"/>
        </w:rPr>
        <w:t xml:space="preserve">2.2.2.2 The mediation effect of Clean Combustion Technology Innovation </w:t>
      </w:r>
    </w:p>
    <w:p w14:paraId="28A7D4B4" w14:textId="5CF0BA57" w:rsidR="008061A3" w:rsidRPr="00046F57" w:rsidRDefault="008061A3" w:rsidP="008061A3">
      <w:pPr>
        <w:pStyle w:val="Paragraph"/>
        <w:jc w:val="both"/>
        <w:rPr>
          <w:shd w:val="clear" w:color="auto" w:fill="FFFFFF"/>
        </w:rPr>
      </w:pPr>
      <w:r w:rsidRPr="007F6C04">
        <w:rPr>
          <w:shd w:val="clear" w:color="auto" w:fill="FFFFFF"/>
        </w:rPr>
        <w:t xml:space="preserve">    </w:t>
      </w:r>
      <w:r w:rsidRPr="00046F57">
        <w:rPr>
          <w:shd w:val="clear" w:color="auto" w:fill="FFFFFF"/>
        </w:rPr>
        <w:t xml:space="preserve">Green development, driven by innovation, transforms industries by boosting efficiency and sustainability </w:t>
      </w:r>
      <w:r w:rsidRPr="00046F57">
        <w:fldChar w:fldCharType="begin"/>
      </w:r>
      <w:r w:rsidRPr="00046F57">
        <w:instrText xml:space="preserve"> ADDIN ZOTERO_ITEM CSL_CITATION {"citationID":"Pf18khBg","properties":{"formattedCitation":"(Ou et al., 2024)","plainCitation":"(Ou et al., 2024)","noteIndex":0},"citationItems":[{"id":784,"uris":["http://zotero.org/users/local/wH06Ygim/items/HIFZEIQ2"],"itemData":{"id":784,"type":"article-journal","abstract":"The transformation of Chinese coal power firms is crucial for achieving carbon emission reduction (CER) goals, and promoting green technology innovation (GTI) is the key for the achievement. To examine the interactive mechanism of central and local government regulatory behavior and coal power firms’ GTI behavior under China’s dual-regulatory system, this paper introduces environmental impact coefficients and develops a tripartite evolutionary game model (EGM) from the perspective of CER. The influencing factors and interactive relationships among them are analyzed. Additionally, through numerical simulation, the impacts of changes in central and local government S&amp;P (subsidies and penalties) on the evolution of the system are also obtained. The findings indicate the following: (1) Enhancing the initial willingness can accelerate the system’s attainment of an optimal state. The local government exhibits a slower pace of evolution. Coal power firms are more sensitive to changes in the initial willingness of the central government. (2) The local government is more sensitive to changes in the central government’s S&amp;P intensity rather than changes in the central government’s initial willingness. Low levels of central government S&amp;P and high penalties are ineffective, while high subsidies can lead to a sudden decrease in the local government’s willingness. (3) Local government penalties have a positive correlation with their effectiveness in promoting GTI, whereas high subsidies are ineffective. (4) The separate implementation of subsidies or penalties by either the central or the local government is detrimental to achieving the optimal state. Such an approach renders the fluctuant or negative behavior of the local government and coal power firms.","container-title":"Energies","DOI":"10.3390/en17030607","ISSN":"1996-1073","issue":"3","journalAbbreviation":"Energies","language":"en","license":"https://creativecommons.org/licenses/by/4.0/","page":"607","source":"DOI.org (Crossref)","title":"An Evolutionary Game Study on Green Technology Innovation of Coal Power Firms under the Dual-Regulatory System","volume":"17","author":[{"family":"Ou","given":"Kai"},{"family":"Shi","given":"Yu"},{"family":"Zhou","given":"Wenwen"}],"issued":{"date-parts":[["2024",1,26]]}}}],"schema":"https://github.com/citation-style-language/schema/raw/master/csl-citation.json"} </w:instrText>
      </w:r>
      <w:r w:rsidRPr="00046F57">
        <w:fldChar w:fldCharType="separate"/>
      </w:r>
      <w:r w:rsidRPr="00046F57">
        <w:t>(Ou et al., 2024)</w:t>
      </w:r>
      <w:r w:rsidRPr="00046F57">
        <w:fldChar w:fldCharType="end"/>
      </w:r>
      <w:r w:rsidRPr="00046F57">
        <w:rPr>
          <w:shd w:val="clear" w:color="auto" w:fill="FFFFFF"/>
        </w:rPr>
        <w:t xml:space="preserve">. In the energy sector, innovations lower renewable energy costs and enhance efficiency, supporting cleaner production </w:t>
      </w:r>
      <w:r w:rsidRPr="00046F57">
        <w:rPr>
          <w:shd w:val="clear" w:color="auto" w:fill="FFFFFF"/>
        </w:rPr>
        <w:fldChar w:fldCharType="begin"/>
      </w:r>
      <w:r w:rsidRPr="00046F57">
        <w:rPr>
          <w:shd w:val="clear" w:color="auto" w:fill="FFFFFF"/>
        </w:rPr>
        <w:instrText xml:space="preserve"> ADDIN ZOTERO_ITEM CSL_CITATION {"citationID":"bBnWe4gl","properties":{"formattedCitation":"(Sohag et al., 2024)","plainCitation":"(Sohag et al., 2024)","noteIndex":0},"citationItems":[{"id":804,"uris":["http://zotero.org/users/local/wH06Ygim/items/BAPHC3HJ"],"itemData":{"id":804,"type":"article-journal","container-title":"Energy Economics","DOI":"10.1016/j.eneco.2024.107721","ISSN":"01409883","journalAbbreviation":"Energy Economics","language":"en","page":"107721","source":"DOI.org (Crossref)","title":"Environmental policy stringency and ecological footprint linkage: Mitigation measures of renewable energy and innovation","title-short":"Environmental policy stringency and ecological footprint linkage","volume":"136","author":[{"family":"Sohag","given":"Kazi"},{"family":"Husain","given":"Shaiara"},{"family":"Soytas","given":"Ugur"}],"issued":{"date-parts":[["2024",8]]}}}],"schema":"https://github.com/citation-style-language/schema/raw/master/csl-citation.json"} </w:instrText>
      </w:r>
      <w:r w:rsidRPr="00046F57">
        <w:rPr>
          <w:shd w:val="clear" w:color="auto" w:fill="FFFFFF"/>
        </w:rPr>
        <w:fldChar w:fldCharType="separate"/>
      </w:r>
      <w:r w:rsidRPr="00046F57">
        <w:t>(Sohag et al., 2024)</w:t>
      </w:r>
      <w:r w:rsidRPr="00046F57">
        <w:rPr>
          <w:shd w:val="clear" w:color="auto" w:fill="FFFFFF"/>
        </w:rPr>
        <w:fldChar w:fldCharType="end"/>
      </w:r>
      <w:r w:rsidRPr="00046F57">
        <w:rPr>
          <w:shd w:val="clear" w:color="auto" w:fill="FFFFFF"/>
        </w:rPr>
        <w:t xml:space="preserve">. For Chinese coal power firms, green technology innovation is vital to meet carbon reduction targets and advance China’s 2030/2060 goals, while strengthening competitiveness </w:t>
      </w:r>
      <w:r w:rsidRPr="00046F57">
        <w:rPr>
          <w:shd w:val="clear" w:color="auto" w:fill="FFFFFF"/>
        </w:rPr>
        <w:fldChar w:fldCharType="begin"/>
      </w:r>
      <w:r w:rsidRPr="00046F57">
        <w:rPr>
          <w:shd w:val="clear" w:color="auto" w:fill="FFFFFF"/>
        </w:rPr>
        <w:instrText xml:space="preserve"> ADDIN ZOTERO_ITEM CSL_CITATION {"citationID":"t1Om0UIO","properties":{"formattedCitation":"(Ou et al., 2024; Thakare &amp; Daspute, 2024; Q. Wu et al., 2023)","plainCitation":"(Ou et al., 2024; Thakare &amp; Daspute, 2024; Q. Wu et al., 2023)","noteIndex":0},"citationItems":[{"id":784,"uris":["http://zotero.org/users/local/wH06Ygim/items/HIFZEIQ2"],"itemData":{"id":784,"type":"article-journal","abstract":"The transformation of Chinese coal power firms is crucial for achieving carbon emission reduction (CER) goals, and promoting green technology innovation (GTI) is the key for the achievement. To examine the interactive mechanism of central and local government regulatory behavior and coal power firms’ GTI behavior under China’s dual-regulatory system, this paper introduces environmental impact coefficients and develops a tripartite evolutionary game model (EGM) from the perspective of CER. The influencing factors and interactive relationships among them are analyzed. Additionally, through numerical simulation, the impacts of changes in central and local government S&amp;P (subsidies and penalties) on the evolution of the system are also obtained. The findings indicate the following: (1) Enhancing the initial willingness can accelerate the system’s attainment of an optimal state. The local government exhibits a slower pace of evolution. Coal power firms are more sensitive to changes in the initial willingness of the central government. (2) The local government is more sensitive to changes in the central government’s S&amp;P intensity rather than changes in the central government’s initial willingness. Low levels of central government S&amp;P and high penalties are ineffective, while high subsidies can lead to a sudden decrease in the local government’s willingness. (3) Local government penalties have a positive correlation with their effectiveness in promoting GTI, whereas high subsidies are ineffective. (4) The separate implementation of subsidies or penalties by either the central or the local government is detrimental to achieving the optimal state. Such an approach renders the fluctuant or negative behavior of the local government and coal power firms.","container-title":"Energies","DOI":"10.3390/en17030607","ISSN":"1996-1073","issue":"3","journalAbbreviation":"Energies","language":"en","license":"https://creativecommons.org/licenses/by/4.0/","page":"607","source":"DOI.org (Crossref)","title":"An Evolutionary Game Study on Green Technology Innovation of Coal Power Firms under the Dual-Regulatory System","volume":"17","author":[{"family":"Ou","given":"Kai"},{"family":"Shi","given":"Yu"},{"family":"Zhou","given":"Wenwen"}],"issued":{"date-parts":[["2024",1,26]]}}},{"id":780,"uris":["http://zotero.org/users/local/wH06Ygim/items/DIWU53SX"],"itemData":{"id":780,"type":"article-journal","container-title":"Energy","DOI":"10.1016/j.energy.2024.131661","ISSN":"03605442","journalAbbreviation":"Energy","language":"en","page":"131661","source":"DOI.org (Crossref)","title":"Enhancing energy conservation in power generation in a coal fired thermal power plant through comprehensive energy audit","volume":"301","author":[{"family":"Thakare","given":"Hitesh R."},{"family":"Daspute","given":"Pramod"}],"issued":{"date-parts":[["2024",8]]}}},{"id":383,"uris":["http://zotero.org/users/local/wH06Ygim/items/NXKM3GBH"],"itemData":{"id":383,"type":"article-journal","container-title":"Energy Policy","DOI":"10.1016/j.enpol.2023.113524","ISSN":"03014215","journalAbbreviation":"Energy Policy","language":"en","page":"113524","source":"DOI.org (Crossref)","title":"How carbon emission prices accelerate net zero: Evidence from China's coal-fired power plants","title-short":"How carbon emission prices accelerate net zero","volume":"177","author":[{"family":"Wu","given":"Qingyang"},{"family":"Tan","given":"Chang"},{"family":"Wang","given":"Daoping"},{"family":"Wu","given":"Yongtao"},{"family":"Meng","given":"Jing"},{"family":"Zheng","given":"Heran"}],"issued":{"date-parts":[["2023",6]]}}}],"schema":"https://github.com/citation-style-language/schema/raw/master/csl-citation.json"} </w:instrText>
      </w:r>
      <w:r w:rsidRPr="00046F57">
        <w:rPr>
          <w:shd w:val="clear" w:color="auto" w:fill="FFFFFF"/>
        </w:rPr>
        <w:fldChar w:fldCharType="separate"/>
      </w:r>
      <w:r w:rsidRPr="00046F57">
        <w:t>(Ou et al., 2024; Thakare &amp; Daspute, 2024; Q. Wu et al., 2023)</w:t>
      </w:r>
      <w:r w:rsidRPr="00046F57">
        <w:rPr>
          <w:shd w:val="clear" w:color="auto" w:fill="FFFFFF"/>
        </w:rPr>
        <w:fldChar w:fldCharType="end"/>
      </w:r>
      <w:r w:rsidRPr="00046F57">
        <w:rPr>
          <w:shd w:val="clear" w:color="auto" w:fill="FFFFFF"/>
        </w:rPr>
        <w:t xml:space="preserve">. CETS channels capital to sustainable sectors through clear price signals, promoting clean energy technologies </w:t>
      </w:r>
      <w:r w:rsidRPr="00046F57">
        <w:fldChar w:fldCharType="begin"/>
      </w:r>
      <w:r w:rsidRPr="00046F57">
        <w:instrText xml:space="preserve"> ADDIN ZOTERO_ITEM CSL_CITATION {"citationID":"Jro1gLNV","properties":{"formattedCitation":"(D. Wang et al., 2024)","plainCitation":"(D. Wang et al., 2024)","noteIndex":0},"citationItems":[{"id":786,"uris":["http://zotero.org/users/local/wH06Ygim/items/GMYKGC72"],"itemData":{"id":786,"type":"article-journal","container-title":"Energy","DOI":"10.1016/j.energy.2024.133157","ISSN":"03605442","journalAbbreviation":"Energy","language":"en","page":"133157","source":"DOI.org (Crossref)","title":"Can carbon market efficiency promote green technology innovation for Chinese companies?","volume":"309","author":[{"family":"Wang","given":"Dan"},{"family":"Sun","given":"Mili"},{"family":"Meng","given":"Bo"},{"family":"An","given":"Yunbi"},{"family":"Cheng","given":"Wenyin"},{"family":"Ye","given":"Bin"}],"issued":{"date-parts":[["2024",11]]}}}],"schema":"https://github.com/citation-style-language/schema/raw/master/csl-citation.json"} </w:instrText>
      </w:r>
      <w:r w:rsidRPr="00046F57">
        <w:fldChar w:fldCharType="separate"/>
      </w:r>
      <w:r w:rsidRPr="00046F57">
        <w:t>(D. Wang et al., 2024)</w:t>
      </w:r>
      <w:r w:rsidRPr="00046F57">
        <w:fldChar w:fldCharType="end"/>
      </w:r>
      <w:r w:rsidRPr="00046F57">
        <w:rPr>
          <w:shd w:val="clear" w:color="auto" w:fill="FFFFFF"/>
        </w:rPr>
        <w:t>. Porter’s hypothesis, aligned with the resource-based view</w:t>
      </w:r>
      <w:r w:rsidR="00C7155C">
        <w:rPr>
          <w:shd w:val="clear" w:color="auto" w:fill="FFFFFF"/>
        </w:rPr>
        <w:t xml:space="preserve"> theory</w:t>
      </w:r>
      <w:r w:rsidRPr="00046F57">
        <w:rPr>
          <w:shd w:val="clear" w:color="auto" w:fill="FFFFFF"/>
        </w:rPr>
        <w:t xml:space="preserve">, posits that well-designed regulations like CETS drive innovation, enhancing efficiency and reducing emissions </w:t>
      </w:r>
      <w:r w:rsidRPr="00046F57">
        <w:rPr>
          <w:shd w:val="clear" w:color="auto" w:fill="FFFFFF"/>
        </w:rPr>
        <w:fldChar w:fldCharType="begin"/>
      </w:r>
      <w:r w:rsidRPr="00046F57">
        <w:rPr>
          <w:shd w:val="clear" w:color="auto" w:fill="FFFFFF"/>
        </w:rPr>
        <w:instrText xml:space="preserve"> ADDIN ZOTERO_ITEM CSL_CITATION {"citationID":"J3n9w4DC","properties":{"formattedCitation":"(Yu et al., 2024)","plainCitation":"(Yu et al., 2024)","noteIndex":0},"citationItems":[{"id":515,"uris":["http://zotero.org/users/local/wH06Ygim/items/XBVHXJ7K"],"itemData":{"id":515,"type":"article-journal","container-title":"Energy","DOI":"10.1016/j.energy.2024.132870","ISSN":"03605442","journalAbbreviation":"Energy","language":"en","page":"132870","source":"DOI.org (Crossref)","title":"Carbon emission trading, carbon efficiency, and the Porter hypothesis: Plant-level evidence from China","title-short":"Carbon emission trading, carbon efficiency, and the Porter hypothesis","volume":"308","author":[{"family":"Yu","given":"Yanni"},{"family":"Zhang","given":"Xinyi"},{"family":"Liu","given":"Yunxiao"},{"family":"Zhou","given":"Tao"}],"issued":{"date-parts":[["2024",11]]}}}],"schema":"https://github.com/citation-style-language/schema/raw/master/csl-citation.json"} </w:instrText>
      </w:r>
      <w:r w:rsidRPr="00046F57">
        <w:rPr>
          <w:shd w:val="clear" w:color="auto" w:fill="FFFFFF"/>
        </w:rPr>
        <w:fldChar w:fldCharType="separate"/>
      </w:r>
      <w:r w:rsidRPr="00046F57">
        <w:t>(Yu et al., 2024)</w:t>
      </w:r>
      <w:r w:rsidRPr="00046F57">
        <w:rPr>
          <w:shd w:val="clear" w:color="auto" w:fill="FFFFFF"/>
        </w:rPr>
        <w:fldChar w:fldCharType="end"/>
      </w:r>
      <w:r w:rsidRPr="00046F57">
        <w:rPr>
          <w:shd w:val="clear" w:color="auto" w:fill="FFFFFF"/>
        </w:rPr>
        <w:t xml:space="preserve">.  </w:t>
      </w:r>
    </w:p>
    <w:p w14:paraId="4997C9BE" w14:textId="3D243CF0" w:rsidR="008061A3" w:rsidRPr="00046F57" w:rsidRDefault="008061A3" w:rsidP="008061A3">
      <w:pPr>
        <w:pStyle w:val="Newparagraph"/>
        <w:jc w:val="both"/>
      </w:pPr>
      <w:r w:rsidRPr="00046F57">
        <w:rPr>
          <w:shd w:val="clear" w:color="auto" w:fill="FFFFFF"/>
        </w:rPr>
        <w:t xml:space="preserve">    Despite neoclassical arguments that CETS raises production costs and limits innovation </w:t>
      </w:r>
      <w:r w:rsidRPr="00046F57">
        <w:rPr>
          <w:shd w:val="clear" w:color="auto" w:fill="FFFFFF"/>
        </w:rPr>
        <w:fldChar w:fldCharType="begin"/>
      </w:r>
      <w:r w:rsidRPr="00046F57">
        <w:rPr>
          <w:shd w:val="clear" w:color="auto" w:fill="FFFFFF"/>
        </w:rPr>
        <w:instrText xml:space="preserve"> ADDIN ZOTERO_ITEM CSL_CITATION {"citationID":"dok7vdz1","properties":{"formattedCitation":"(W. Zhang et al., 2022)","plainCitation":"(W. Zhang et al., 2022)","noteIndex":0},"citationItems":[{"id":787,"uris":["http://zotero.org/users/local/wH06Ygim/items/VWUZ63JV"],"itemData":{"id":787,"type":"article-journal","container-title":"Applied Energy","DOI":"10.1016/j.apenergy.2022.119012","ISSN":"03062619","journalAbbreviation":"Applied Energy","language":"en","page":"119012","source":"DOI.org (Crossref)","title":"Does carbon emissions trading promote green technology innovation in China?","volume":"315","author":[{"family":"Zhang","given":"Wei"},{"family":"Li","given":"Guoxiang"},{"family":"Guo","given":"Fanyong"}],"issued":{"date-parts":[["2022",6]]}}}],"schema":"https://github.com/citation-style-language/schema/raw/master/csl-citation.json"} </w:instrText>
      </w:r>
      <w:r w:rsidRPr="00046F57">
        <w:rPr>
          <w:shd w:val="clear" w:color="auto" w:fill="FFFFFF"/>
        </w:rPr>
        <w:fldChar w:fldCharType="separate"/>
      </w:r>
      <w:r w:rsidRPr="00046F57">
        <w:t>(W. Zhang et al., 2022)</w:t>
      </w:r>
      <w:r w:rsidRPr="00046F57">
        <w:rPr>
          <w:shd w:val="clear" w:color="auto" w:fill="FFFFFF"/>
        </w:rPr>
        <w:fldChar w:fldCharType="end"/>
      </w:r>
      <w:r w:rsidRPr="00046F57">
        <w:rPr>
          <w:shd w:val="clear" w:color="auto" w:fill="FFFFFF"/>
        </w:rPr>
        <w:t xml:space="preserve">, long-term carbon market incentives increase research investment, fostering green technology innovation and efficiency </w:t>
      </w:r>
      <w:r w:rsidRPr="00046F57">
        <w:rPr>
          <w:shd w:val="clear" w:color="auto" w:fill="FFFFFF"/>
        </w:rPr>
        <w:fldChar w:fldCharType="begin"/>
      </w:r>
      <w:r w:rsidRPr="00046F57">
        <w:rPr>
          <w:shd w:val="clear" w:color="auto" w:fill="FFFFFF"/>
        </w:rPr>
        <w:instrText xml:space="preserve"> ADDIN ZOTERO_ITEM CSL_CITATION {"citationID":"ZoNCLCnC","properties":{"formattedCitation":"(Fan et al., 2023; Sun et al., 2023a; D. Wang et al., 2024)","plainCitation":"(Fan et al., 2023; Sun et al., 2023a; D. Wang et al., 2024)","noteIndex":0},"citationItems":[{"id":399,"uris":["http://zotero.org/users/local/wH06Ygim/items/RWCB2NE4"],"itemData":{"id":399,"type":"article-journal","abstract":"Recent years have seen considerable debate about the practicability of a global quantity/price commitment to control carbon emissions and tackle environmental issues. In this paper, we study the impact of the cap-and-trade policy (quantity commitment) and the carbon tax policy (price commitment) on a firm’s technology investment and production decisions. The main feature captured in our model is that there exist correlated uncertainties between the sales market (demand uncertainty) and the permit trading market (permit price volatility) under the cap-and-trade policy. The correlation relationship stands on the following intuition. The demands for final products affect firms’ production output, which generates the needs of emission permits and influences the permit price. We show that under the cap-and-trade policy, with the uncertainty of the future emission price, the firm could flexibly adjust its production quantity to enhance its profit, resulting in low incentives to invest in clean technology. However, as the (positive) correlation between the sales market and the permit trading market increases, the production flexibility is constrained so that the firm has to increase its technology investment to hedge against the future risk of a high emission price. Making a comparison between the cap-and-trade and carbon tax policies, we find that when the correlation coefficient is moderate, the carbon tax policy generates a multiwin situation (i.e., more technology investment, higher expected profit and consumer surplus, and fewer carbon emissions). Case studies are provided to illustrate the implications and model variants are examined to check the robustness of the main results. Overall, our analysis sheds light on recent debate over carbon pricing and identifies the important role of correlated uncertainties in carbon policy design.\n            This paper was accepted by Charles Corbett, operations management.\n            Funding: This work was supported by the stable support plan program of Shenzhen Natural Science Fund [Program Contract 20200925160533002] and the National Natural Science Foundation of China [Grant 72101105].\n            Supplemental Material: The data files and online appendix are available at https://doi.org/10.1287/mnsc.2022.4365 .","container-title":"Management Science","DOI":"10.1287/mnsc.2022.4365","ISSN":"0025-1909, 1526-5501","issue":"1","journalAbbreviation":"Management Science","language":"en","page":"325-341","source":"DOI.org (Crossref)","title":"Is Price Commitment a Better Solution to Control Carbon Emissions and Promote Technology Investment?","volume":"69","author":[{"family":"Fan","given":"Xiaoshuai"},{"family":"Chen","given":"Kanglin"},{"family":"Chen","given":"Ying-Ju"}],"issued":{"date-parts":[["2023",1]]}}},{"id":760,"uris":["http://zotero.org/users/local/wH06Ygim/items/74P9CEGA"],"itemData":{"id":760,"type":"article-journal","container-title":"Energy Economics","DOI":"10.1016/j.eneco.2023.106984","ISSN":"01409883","journalAbbreviation":"Energy Economics","language":"en","page":"106984","source":"DOI.org (Crossref)","title":"Does the pilot emissions trading system in China promote innovation? Evidence based on green technology innovation in the energy sector","title-short":"Does the pilot emissions trading system in China promote innovation?","volume":"126","author":[{"family":"Sun","given":"Yanming"},{"family":"Shen","given":"Simiao"},{"family":"Zhou","given":"Chuanyu"}],"issued":{"date-parts":[["2023",10]]}}},{"id":786,"uris":["http://zotero.org/users/local/wH06Ygim/items/GMYKGC72"],"itemData":{"id":786,"type":"article-journal","container-title":"Energy","DOI":"10.1016/j.energy.2024.133157","ISSN":"03605442","journalAbbreviation":"Energy","language":"en","page":"133157","source":"DOI.org (Crossref)","title":"Can carbon market efficiency promote green technology innovation for Chinese companies?","volume":"309","author":[{"family":"Wang","given":"Dan"},{"family":"Sun","given":"Mili"},{"family":"Meng","given":"Bo"},{"family":"An","given":"Yunbi"},{"family":"Cheng","given":"Wenyin"},{"family":"Ye","given":"Bin"}],"issued":{"date-parts":[["2024",11]]}}}],"schema":"https://github.com/citation-style-language/schema/raw/master/csl-citation.json"} </w:instrText>
      </w:r>
      <w:r w:rsidRPr="00046F57">
        <w:rPr>
          <w:shd w:val="clear" w:color="auto" w:fill="FFFFFF"/>
        </w:rPr>
        <w:fldChar w:fldCharType="separate"/>
      </w:r>
      <w:r w:rsidRPr="00046F57">
        <w:t xml:space="preserve">(Fan et al., 2023; Sun et al., 2023a; D. Wang </w:t>
      </w:r>
      <w:r w:rsidRPr="00046F57">
        <w:lastRenderedPageBreak/>
        <w:t>et al., 2024)</w:t>
      </w:r>
      <w:r w:rsidRPr="00046F57">
        <w:rPr>
          <w:shd w:val="clear" w:color="auto" w:fill="FFFFFF"/>
        </w:rPr>
        <w:fldChar w:fldCharType="end"/>
      </w:r>
      <w:r w:rsidRPr="00046F57">
        <w:rPr>
          <w:shd w:val="clear" w:color="auto" w:fill="FFFFFF"/>
        </w:rPr>
        <w:t xml:space="preserve">. CETS encourages firms to invest in </w:t>
      </w:r>
      <w:r w:rsidR="00F25894">
        <w:rPr>
          <w:shd w:val="clear" w:color="auto" w:fill="FFFFFF"/>
        </w:rPr>
        <w:t xml:space="preserve">low-carbon energy </w:t>
      </w:r>
      <w:r w:rsidR="00C7155C" w:rsidRPr="00046F57">
        <w:rPr>
          <w:shd w:val="clear" w:color="auto" w:fill="FFFFFF"/>
        </w:rPr>
        <w:t>technology innovation</w:t>
      </w:r>
      <w:r w:rsidRPr="00046F57">
        <w:rPr>
          <w:shd w:val="clear" w:color="auto" w:fill="FFFFFF"/>
        </w:rPr>
        <w:t>, improving plant operations and reducing emissions</w:t>
      </w:r>
      <w:r w:rsidR="00C7155C">
        <w:rPr>
          <w:shd w:val="clear" w:color="auto" w:fill="FFFFFF"/>
        </w:rPr>
        <w:t xml:space="preserve"> </w:t>
      </w:r>
      <w:r w:rsidR="00885E73" w:rsidRPr="00046F57">
        <w:fldChar w:fldCharType="begin"/>
      </w:r>
      <w:r w:rsidR="00885E73" w:rsidRPr="00046F57">
        <w:instrText xml:space="preserve"> ADDIN ZOTERO_ITEM CSL_CITATION {"citationID":"PdtXktV3","properties":{"formattedCitation":"(D. Wang et al., 2024)","plainCitation":"(D. Wang et al., 2024)","noteIndex":0},"citationItems":[{"id":786,"uris":["http://zotero.org/users/local/wH06Ygim/items/GMYKGC72"],"itemData":{"id":786,"type":"article-journal","container-title":"Energy","DOI":"10.1016/j.energy.2024.133157","ISSN":"03605442","journalAbbreviation":"Energy","language":"en","page":"133157","source":"DOI.org (Crossref)","title":"Can carbon market efficiency promote green technology innovation for Chinese companies?","volume":"309","author":[{"family":"Wang","given":"Dan"},{"family":"Sun","given":"Mili"},{"family":"Meng","given":"Bo"},{"family":"An","given":"Yunbi"},{"family":"Cheng","given":"Wenyin"},{"family":"Ye","given":"Bin"}],"issued":{"date-parts":[["2024",11]]}}}],"schema":"https://github.com/citation-style-language/schema/raw/master/csl-citation.json"} </w:instrText>
      </w:r>
      <w:r w:rsidR="00885E73" w:rsidRPr="00046F57">
        <w:fldChar w:fldCharType="separate"/>
      </w:r>
      <w:r w:rsidR="00885E73" w:rsidRPr="00046F57">
        <w:t>(D. Wang et al., 2024)</w:t>
      </w:r>
      <w:r w:rsidR="00885E73" w:rsidRPr="00046F57">
        <w:fldChar w:fldCharType="end"/>
      </w:r>
      <w:r w:rsidRPr="00046F57">
        <w:rPr>
          <w:shd w:val="clear" w:color="auto" w:fill="FFFFFF"/>
        </w:rPr>
        <w:t xml:space="preserve">. Firms can offset compliance costs through cleaner production technologies, leveraging an innovation compensation effect </w:t>
      </w:r>
      <w:r w:rsidRPr="00046F57">
        <w:rPr>
          <w:rFonts w:eastAsia="CMR12"/>
          <w14:ligatures w14:val="standardContextual"/>
        </w:rPr>
        <w:fldChar w:fldCharType="begin"/>
      </w:r>
      <w:r w:rsidRPr="00046F57">
        <w:rPr>
          <w:rFonts w:eastAsia="CMR12"/>
          <w14:ligatures w14:val="standardContextual"/>
        </w:rPr>
        <w:instrText xml:space="preserve"> ADDIN ZOTERO_ITEM CSL_CITATION {"citationID":"oLMNojEk","properties":{"formattedCitation":"(J. Zhu et al., 2019)","plainCitation":"(J. Zhu et al., 2019)","noteIndex":0},"citationItems":[{"id":278,"uris":["http://zotero.org/users/local/wH06Ygim/items/38JSDZXF"],"itemData":{"id":278,"type":"article-journal","abstract":"Abstract\n            Emissions trading scheme (ETS) has been adopted by an increasing number of countries and regions for carbon mitigation, but its actual effect depends on specific program design and institutional context. Before launching the world largest ETS, China experimented with seven independent regional pilots, whose effects are only indirectly explored. Here we provide firm-level evidence of the innovation effect directly from China’s pilot emissions trading, based on latest patenting information and a quasi-experimental design. China’s pilots increase low-carbon innovation of ETS firms by 5–10% without crowding out their other technology innovation. The increase from ETS firms accounts for about 1% increase of the regional low-carbon patents, while a similar increase from large non-ETS firms is also induced by the ETS. Most importantly, the effect is not associated with permit price, auction, or firm characteristics, but is driven by mass-based allowance allocation. A rate-based approach, however, is adopted by China’s national market.","container-title":"Nature Communications","DOI":"10.1038/s41467-019-12213-6","ISSN":"2041-1723","issue":"1","journalAbbreviation":"Nat Commun","language":"en","page":"4088","source":"DOI.org (Crossref)","title":"Low-carbon innovation induced by emissions trading in China","volume":"10","author":[{"family":"Zhu","given":"Junming"},{"family":"Fan","given":"Yichun"},{"family":"Deng","given":"Xinghua"},{"family":"Xue","given":"Lan"}],"issued":{"date-parts":[["2019",9,9]]}}}],"schema":"https://github.com/citation-style-language/schema/raw/master/csl-citation.json"} </w:instrText>
      </w:r>
      <w:r w:rsidRPr="00046F57">
        <w:rPr>
          <w:rFonts w:eastAsia="CMR12"/>
          <w14:ligatures w14:val="standardContextual"/>
        </w:rPr>
        <w:fldChar w:fldCharType="separate"/>
      </w:r>
      <w:r w:rsidRPr="00046F57">
        <w:rPr>
          <w:rFonts w:eastAsia="CMR12"/>
        </w:rPr>
        <w:t>(J. Zhu et al., 2019)</w:t>
      </w:r>
      <w:r w:rsidRPr="00046F57">
        <w:rPr>
          <w:rFonts w:eastAsia="CMR12"/>
          <w14:ligatures w14:val="standardContextual"/>
        </w:rPr>
        <w:fldChar w:fldCharType="end"/>
      </w:r>
      <w:r w:rsidRPr="00046F57">
        <w:rPr>
          <w:shd w:val="clear" w:color="auto" w:fill="FFFFFF"/>
        </w:rPr>
        <w:t xml:space="preserve">. Studies confirm CETS’s positive impact on innovation: </w:t>
      </w:r>
      <w:r w:rsidRPr="00046F57">
        <w:fldChar w:fldCharType="begin"/>
      </w:r>
      <w:r w:rsidRPr="00046F57">
        <w:instrText xml:space="preserve"> ADDIN ZOTERO_ITEM CSL_CITATION {"citationID":"64Q7tSr2","properties":{"formattedCitation":"(Cong et al., 2024)","plainCitation":"(Cong et al., 2024)","noteIndex":0},"citationItems":[{"id":783,"uris":["http://zotero.org/users/local/wH06Ygim/items/X7HIY9HP"],"itemData":{"id":783,"type":"article-journal","container-title":"Climate Policy","DOI":"10.1080/14693062.2023.2273939","ISSN":"1469-3062, 1752-7457","issue":"4","journalAbbreviation":"Climate Policy","language":"en","page":"558-571","source":"DOI.org (Crossref)","title":"Possible green-technology innovation motivated by China’s pilot carbon market: new evidence from city panel data","title-short":"Possible green-technology innovation motivated by China’s pilot carbon market","volume":"24","author":[{"family":"Cong","given":"Jianhui"},{"family":"Zhang","given":"Weiqiang"},{"family":"Guo","given":"Hongjuan"},{"family":"Zhao","given":"Yongbin"}],"issued":{"date-parts":[["2024",4,20]]}}}],"schema":"https://github.com/citation-style-language/schema/raw/master/csl-citation.json"} </w:instrText>
      </w:r>
      <w:r w:rsidRPr="00046F57">
        <w:fldChar w:fldCharType="separate"/>
      </w:r>
      <w:r w:rsidRPr="00046F57">
        <w:t>(Cong et al., 2024)</w:t>
      </w:r>
      <w:r w:rsidRPr="00046F57">
        <w:fldChar w:fldCharType="end"/>
      </w:r>
      <w:r w:rsidRPr="00046F57">
        <w:t xml:space="preserve"> </w:t>
      </w:r>
      <w:r w:rsidRPr="00046F57">
        <w:rPr>
          <w:shd w:val="clear" w:color="auto" w:fill="FFFFFF"/>
        </w:rPr>
        <w:t xml:space="preserve">found that the carbon market significantly boosts green technology innovation in high-energy industries across 209 Chinese cities (2006–2017), particularly in the power sector, while </w:t>
      </w:r>
      <w:r w:rsidRPr="00046F57">
        <w:fldChar w:fldCharType="begin"/>
      </w:r>
      <w:r w:rsidR="008872DE">
        <w:instrText xml:space="preserve"> ADDIN ZOTERO_ITEM CSL_CITATION {"citationID":"GR0zbL25","properties":{"formattedCitation":"(D. Wang et al., 2024)","plainCitation":"(D. Wang et al., 2024)","noteIndex":0},"citationItems":[{"id":786,"uris":["http://zotero.org/users/local/wH06Ygim/items/GMYKGC72"],"itemData":{"id":786,"type":"article-journal","container-title":"Energy","DOI":"10.1016/j.energy.2024.133157","ISSN":"03605442","journalAbbreviation":"Energy","language":"en","page":"133157","source":"DOI.org (Crossref)","title":"Can carbon market efficiency promote green technology innovation for Chinese companies?","volume":"309","author":[{"family":"Wang","given":"Dan"},{"family":"Sun","given":"Mili"},{"family":"Meng","given":"Bo"},{"family":"An","given":"Yunbi"},{"family":"Cheng","given":"Wenyin"},{"family":"Ye","given":"Bin"}],"issued":{"date-parts":[["2024",11]]}}}],"schema":"https://github.com/citation-style-language/schema/raw/master/csl-citation.json"} </w:instrText>
      </w:r>
      <w:r w:rsidRPr="00046F57">
        <w:fldChar w:fldCharType="separate"/>
      </w:r>
      <w:r w:rsidRPr="00046F57">
        <w:t>(D. Wang et al., 2024)</w:t>
      </w:r>
      <w:r w:rsidRPr="00046F57">
        <w:fldChar w:fldCharType="end"/>
      </w:r>
      <w:r w:rsidRPr="00046F57">
        <w:rPr>
          <w:shd w:val="clear" w:color="auto" w:fill="FFFFFF"/>
        </w:rPr>
        <w:t xml:space="preserve"> highlight its role in increasing R&amp;D intensity. Additionally, </w:t>
      </w:r>
      <w:r w:rsidRPr="00046F57">
        <w:rPr>
          <w:shd w:val="clear" w:color="auto" w:fill="FFFFFF"/>
        </w:rPr>
        <w:fldChar w:fldCharType="begin"/>
      </w:r>
      <w:r w:rsidRPr="00046F57">
        <w:rPr>
          <w:shd w:val="clear" w:color="auto" w:fill="FFFFFF"/>
        </w:rPr>
        <w:instrText xml:space="preserve"> ADDIN ZOTERO_ITEM CSL_CITATION {"citationID":"dCbctimV","properties":{"formattedCitation":"(X. Meng &amp; Yu, 2023)","plainCitation":"(X. Meng &amp; Yu, 2023)","noteIndex":0},"citationItems":[{"id":244,"uris":["http://zotero.org/users/local/wH06Ygim/items/ZZEU9KAZ"],"itemData":{"id":244,"type":"article-journal","container-title":"Energy Policy","DOI":"10.1016/j.enpol.2023.113461","ISSN":"03014215","journalAbbreviation":"Energy Policy","language":"en","page":"113461","source":"DOI.org (Crossref)","title":"Can renewable energy portfolio standards and carbon tax policies promote carbon emission reduction in China's power industry?","volume":"174","author":[{"family":"Meng","given":"Xin"},{"family":"Yu","given":"Yanni"}],"issued":{"date-parts":[["2023",3]]}}}],"schema":"https://github.com/citation-style-language/schema/raw/master/csl-citation.json"} </w:instrText>
      </w:r>
      <w:r w:rsidRPr="00046F57">
        <w:rPr>
          <w:shd w:val="clear" w:color="auto" w:fill="FFFFFF"/>
        </w:rPr>
        <w:fldChar w:fldCharType="separate"/>
      </w:r>
      <w:r w:rsidRPr="00046F57">
        <w:t>(X. Meng &amp; Yu, 2023)</w:t>
      </w:r>
      <w:r w:rsidRPr="00046F57">
        <w:rPr>
          <w:shd w:val="clear" w:color="auto" w:fill="FFFFFF"/>
        </w:rPr>
        <w:fldChar w:fldCharType="end"/>
      </w:r>
      <w:r w:rsidRPr="00046F57">
        <w:rPr>
          <w:shd w:val="clear" w:color="auto" w:fill="FFFFFF"/>
        </w:rPr>
        <w:t xml:space="preserve">. Focusing on clean combustion technology innovation (CCTI), such as combined heat and power systems and oxy-fuel combustion, this study examines CCTI’s mediating role in CETS’s effectiveness in improving TFPGE in coal-fired power plants, proposing that these technologies enhance combustion efficiency, reduce emissions, and directly elevate TFPGE. Thus, we propose:  </w:t>
      </w:r>
    </w:p>
    <w:p w14:paraId="5F235B62" w14:textId="2319D56C" w:rsidR="008061A3" w:rsidRPr="00046F57" w:rsidRDefault="008061A3" w:rsidP="008061A3">
      <w:pPr>
        <w:pStyle w:val="Newparagraph"/>
        <w:jc w:val="both"/>
        <w:rPr>
          <w:rFonts w:eastAsia="CMR12"/>
          <w14:ligatures w14:val="standardContextual"/>
        </w:rPr>
      </w:pPr>
      <w:r w:rsidRPr="00046F57">
        <w:rPr>
          <w:rFonts w:eastAsia="CMR12"/>
          <w14:ligatures w14:val="standardContextual"/>
        </w:rPr>
        <w:t xml:space="preserve">    Hypothesis 3: </w:t>
      </w:r>
      <w:r w:rsidRPr="00046F57">
        <w:rPr>
          <w:shd w:val="clear" w:color="auto" w:fill="FFFFFF"/>
        </w:rPr>
        <w:t>CETS enhances TFPGE through the mediating effect of increased CCTI.</w:t>
      </w:r>
    </w:p>
    <w:p w14:paraId="6A75A4E0" w14:textId="77777777" w:rsidR="008061A3" w:rsidRPr="008872DE" w:rsidRDefault="008061A3" w:rsidP="008061A3">
      <w:pPr>
        <w:pStyle w:val="Heading4Paragraph"/>
        <w:rPr>
          <w:sz w:val="25"/>
          <w:szCs w:val="25"/>
        </w:rPr>
      </w:pPr>
      <w:r w:rsidRPr="008872DE">
        <w:rPr>
          <w:sz w:val="25"/>
          <w:szCs w:val="25"/>
        </w:rPr>
        <w:t xml:space="preserve">2.2.2.3 The moderating effect of Energy Structure Upgrading </w:t>
      </w:r>
    </w:p>
    <w:p w14:paraId="3E432341" w14:textId="77777777" w:rsidR="008061A3" w:rsidRPr="00046F57" w:rsidRDefault="008061A3" w:rsidP="008061A3">
      <w:pPr>
        <w:pStyle w:val="Paragraph"/>
        <w:jc w:val="both"/>
        <w:rPr>
          <w:shd w:val="clear" w:color="auto" w:fill="FFFFFF"/>
        </w:rPr>
      </w:pPr>
      <w:r w:rsidRPr="00046F57">
        <w:rPr>
          <w:shd w:val="clear" w:color="auto" w:fill="FFFFFF"/>
        </w:rPr>
        <w:t xml:space="preserve">   China’s secondary industry, a major driver of energy consumption and carbon emissions, poses challenges to energy efficiency goals </w:t>
      </w:r>
      <w:r w:rsidRPr="00046F57">
        <w:rPr>
          <w:shd w:val="clear" w:color="auto" w:fill="FFFFFF"/>
        </w:rPr>
        <w:fldChar w:fldCharType="begin"/>
      </w:r>
      <w:r w:rsidRPr="00046F57">
        <w:rPr>
          <w:shd w:val="clear" w:color="auto" w:fill="FFFFFF"/>
        </w:rPr>
        <w:instrText xml:space="preserve"> ADDIN ZOTERO_ITEM CSL_CITATION {"citationID":"eQBmoAID","properties":{"formattedCitation":"(K. Du et al., 2021)","plainCitation":"(K. Du et al., 2021)","noteIndex":0},"citationItems":[{"id":463,"uris":["http://zotero.org/users/local/wH06Ygim/items/6ZHF8D3R"],"itemData":{"id":463,"type":"article-journal","container-title":"Energy Economics","DOI":"10.1016/j.eneco.2021.105247","ISSN":"01409883","journalAbbreviation":"Energy Economics","language":"en","page":"105247","source":"DOI.org (Crossref)","title":"Environmental regulation, green technology innovation, and industrial structure upgrading: The road to the green transformation of Chinese cities","title-short":"Environmental regulation, green technology innovation, and industrial structure upgrading","volume":"98","author":[{"family":"Du","given":"Kerui"},{"family":"Cheng","given":"Yuanyuan"},{"family":"Yao","given":"Xin"}],"issued":{"date-parts":[["2021",6]]}}}],"schema":"https://github.com/citation-style-language/schema/raw/master/csl-citation.json"} </w:instrText>
      </w:r>
      <w:r w:rsidRPr="00046F57">
        <w:rPr>
          <w:shd w:val="clear" w:color="auto" w:fill="FFFFFF"/>
        </w:rPr>
        <w:fldChar w:fldCharType="separate"/>
      </w:r>
      <w:r w:rsidRPr="00046F57">
        <w:t>(K. Du et al., 2021)</w:t>
      </w:r>
      <w:r w:rsidRPr="00046F57">
        <w:rPr>
          <w:shd w:val="clear" w:color="auto" w:fill="FFFFFF"/>
        </w:rPr>
        <w:fldChar w:fldCharType="end"/>
      </w:r>
      <w:r w:rsidRPr="00046F57">
        <w:rPr>
          <w:shd w:val="clear" w:color="auto" w:fill="FFFFFF"/>
        </w:rPr>
        <w:t xml:space="preserve">. Shifting to cleaner energy structures is critical for enhancing TFPGE. Environmental regulations, like the CETS, guide industries toward low-carbon alternatives by promoting clean energy and reducing coal dependency </w:t>
      </w:r>
      <w:r w:rsidRPr="00046F57">
        <w:rPr>
          <w:shd w:val="clear" w:color="auto" w:fill="FFFFFF"/>
        </w:rPr>
        <w:fldChar w:fldCharType="begin"/>
      </w:r>
      <w:r w:rsidRPr="00046F57">
        <w:rPr>
          <w:shd w:val="clear" w:color="auto" w:fill="FFFFFF"/>
        </w:rPr>
        <w:instrText xml:space="preserve"> ADDIN ZOTERO_ITEM CSL_CITATION {"citationID":"6D6MdFG8","properties":{"formattedCitation":"(F. Chen et al., 2024)","plainCitation":"(F. Chen et al., 2024)","noteIndex":0},"citationItems":[{"id":299,"uris":["http://zotero.org/users/local/wH06Ygim/items/94QPC8QS"],"itemData":{"id":299,"type":"article-journal","abstract":"Abstract\n            China has become the world’s largest carbon emitter due to its high-investment, low-efficiency development model. It is urgent to reduce industrial pollution emissions. This study analyzes the impact of environmental regulation intensity and energy consumption structure on industrial SO2 pollution emissions by establishing a fixed-effect regression model based on panel data from 2009 to 2018 in China. The results show that the overall environmental regulation intensity in China has a significant negative effect on industrial pollution emissions. In other words, increasing the level of environmental regulation is conducive to reducing industrial pollution emissions. The proportion of coal consumption in the overall national energy consumption structure directly and positively correlated with the concentration of industrial pollution emissions. Due to the differences in economic development and industrial foundation, the pollution emissions effect shows significant heterogeneity in the eastern and western regions of China under the constraint of environmental regulation. Based on these conclusions, this article proposes policy recommendations from four aspects: (1) strengthen environmental regulation, and pay attention to optimize the form of environmental regulation. For example, in the West of China, the government can encourage enterprises to carry out technological innovation and develop green energy hubs by policy and financial support; (2)improve the energy consumption structure, such as encouraging green production; (3) promote industrial structure adjustment and upgrading, such as promoting the energy saving transformation of energy-intensive enterprises, developing green technologies, and reducing the carbon emissions of industrial industries; (4)improve the foreign investment access system and guiding foreign investment to invest in key environmental protection projects.","container-title":"Environmental Research Communications","DOI":"10.1088/2515-7620/ad1ed5","ISSN":"2515-7620","issue":"1","journalAbbreviation":"Environ. Res. Commun.","page":"015011","source":"DOI.org (Crossref)","title":"Environmental regulation, energy consumption structure, and industrial pollution emissions","volume":"6","author":[{"family":"Chen","given":"Fangli"},{"family":"Shao","given":"Mimi"},{"family":"Chen","given":"Weitong"},{"family":"Wang","given":"Furu"}],"issued":{"date-parts":[["2024",1,1]]}}}],"schema":"https://github.com/citation-style-language/schema/raw/master/csl-citation.json"} </w:instrText>
      </w:r>
      <w:r w:rsidRPr="00046F57">
        <w:rPr>
          <w:shd w:val="clear" w:color="auto" w:fill="FFFFFF"/>
        </w:rPr>
        <w:fldChar w:fldCharType="separate"/>
      </w:r>
      <w:r w:rsidRPr="00046F57">
        <w:t>(F. Chen et al., 2024)</w:t>
      </w:r>
      <w:r w:rsidRPr="00046F57">
        <w:rPr>
          <w:shd w:val="clear" w:color="auto" w:fill="FFFFFF"/>
        </w:rPr>
        <w:fldChar w:fldCharType="end"/>
      </w:r>
      <w:r w:rsidRPr="00046F57">
        <w:rPr>
          <w:shd w:val="clear" w:color="auto" w:fill="FFFFFF"/>
        </w:rPr>
        <w:t xml:space="preserve">. CETS’s carbon reduction targets encourage coal-fired power plants to adopt practices like renewable energy integration or advanced clean energy methods, cutting emissions and fossil fuel use </w:t>
      </w:r>
      <w:r w:rsidRPr="00046F57">
        <w:rPr>
          <w:shd w:val="clear" w:color="auto" w:fill="FFFFFF"/>
        </w:rPr>
        <w:fldChar w:fldCharType="begin"/>
      </w:r>
      <w:r w:rsidRPr="00046F57">
        <w:rPr>
          <w:shd w:val="clear" w:color="auto" w:fill="FFFFFF"/>
        </w:rPr>
        <w:instrText xml:space="preserve"> ADDIN ZOTERO_ITEM CSL_CITATION {"citationID":"UUyqTHyv","properties":{"formattedCitation":"(Bai &amp; Ru, 2024)","plainCitation":"(Bai &amp; Ru, 2024)","noteIndex":0},"citationItems":[{"id":376,"uris":["http://zotero.org/users/local/wH06Ygim/items/KRXAMA2Z"],"itemData":{"id":376,"type":"article-journal","abstract":"We study how the implementation of emissions trading systems (ETSs) impacts emissions reductions and the usage of renewable energy using a panel sample of the largest 100 countries worldwide. Exploiting cross-country variations in ETS implementations, we show that ETS adoption materially reduced greenhouse gas (carbon dioxide) emissions by 12.1% (18.1%). Moreover, ETSs reduced overall emissions by cutting the usage of fossil fuels such as coal by 23.70% while boosting the usage of renewable energy by 61.59%, on average. In contrast, introducing carbon taxes has a less effective impact on emissions reduction. It fails to boost the usage of renewable energy, though elevating tax rates and expanding tax coverage may help enhance the efficacy of carbon taxes.\n            This paper was accepted by Victoria Ivashina, finance.\n            Funding: H. Ru thanks the financial support from the Nanyang Technological University, and Ministry of Education, Singapore, under its Tier 1 RG134/20.\n            Supplemental Material: The online appendix and data files are available at https://doi.org/10.1287/mnsc.2023.03143 .","container-title":"Management Science","DOI":"10.1287/mnsc.2023.03143","ISSN":"0025-1909, 1526-5501","journalAbbreviation":"Management Science","language":"en","page":"mnsc.2023.03143","source":"DOI.org (Crossref)","title":"Carbon Emissions Trading and Environmental Protection: International Evidence","title-short":"Carbon Emissions Trading and Environmental Protection","author":[{"family":"Bai","given":"Jennie"},{"family":"Ru","given":"Hong"}],"issued":{"date-parts":[["2024",3,13]]}}}],"schema":"https://github.com/citation-style-language/schema/raw/master/csl-citation.json"} </w:instrText>
      </w:r>
      <w:r w:rsidRPr="00046F57">
        <w:rPr>
          <w:shd w:val="clear" w:color="auto" w:fill="FFFFFF"/>
        </w:rPr>
        <w:fldChar w:fldCharType="separate"/>
      </w:r>
      <w:r w:rsidRPr="00046F57">
        <w:t>(Bai &amp; Ru, 2024)</w:t>
      </w:r>
      <w:r w:rsidRPr="00046F57">
        <w:rPr>
          <w:shd w:val="clear" w:color="auto" w:fill="FFFFFF"/>
        </w:rPr>
        <w:fldChar w:fldCharType="end"/>
      </w:r>
      <w:r w:rsidRPr="00046F57">
        <w:rPr>
          <w:shd w:val="clear" w:color="auto" w:fill="FFFFFF"/>
        </w:rPr>
        <w:t xml:space="preserve">. Per Porter’s hypothesis, such regulations amplify efficiency gains in regions with advanced industrial structures, as they leverage existing low-carbon infrastructure to respond </w:t>
      </w:r>
      <w:r w:rsidRPr="00046F57">
        <w:rPr>
          <w:shd w:val="clear" w:color="auto" w:fill="FFFFFF"/>
        </w:rPr>
        <w:lastRenderedPageBreak/>
        <w:t xml:space="preserve">to carbon pricing </w:t>
      </w:r>
      <w:r w:rsidRPr="00046F57">
        <w:fldChar w:fldCharType="begin"/>
      </w:r>
      <w:r w:rsidRPr="00046F57">
        <w:instrText xml:space="preserve"> ADDIN ZOTERO_ITEM CSL_CITATION {"citationID":"xgNzuKdm","properties":{"formattedCitation":"(H. Zhang &amp; Wu, 2022)","plainCitation":"(H. Zhang &amp; Wu, 2022)","noteIndex":0},"citationItems":[{"id":781,"uris":["http://zotero.org/users/local/wH06Ygim/items/NSSYLCSX"],"itemData":{"id":781,"type":"article-journal","abstract":"Promoting the carbon emission trading system has been a crucial measure for China to fulfill its carbon neutrality commitment. Taking the carbon emission trading system implemented in China in 2013 as a quasi-natural experiment, based on the provincial panel data of China from 2005 to 2019, this paper adopts the difference-in-difference (DID) method and the synthetic control method (SCM) to evaluate the impact of the carbon emission trading system on energy conservation and emission reduction in pilot provinces and cities. The research findings reveal that, on the whole, the carbon emission trading system has significantly promoted the process of energy conservation and emission reduction in pilot provinces and cities. Other robustness tests, including the parallel trend test, PSM–DID stationarity test and placebo test have also been passed. Heterogeneity analysis shows that the most significant policy effects occur in Tianjin and Shanghai, followed by Hubei. The emission reduction effect of Guangdong displays a trend of first decreasing and then increasing. The test results demonstrate that the carbon emission trading system can strengthen the process of energy conservation and emission reduction by optimizing the industrial structure and energy structure. In conclusion, policy makers should coordinate the relationship between the government and the market and speed up the transformation of environmental policy from command control type to market incentive type. Meanwhile, improve the property right system and accelerate the promotion of carbon emission trading pilot policies in China according to local conditions. By encouraging technological innovation, a new market-oriented path of energy conservation and emission reduction guided by the enhancement of energy efficiency and the optimization of energy and industrial structures ought to be formed.","container-title":"International Journal of Environmental Research and Public Health","DOI":"10.3390/ijerph19159272","ISSN":"1660-4601","issue":"15","journalAbbreviation":"IJERPH","language":"en","license":"https://creativecommons.org/licenses/by/4.0/","page":"9272","source":"DOI.org (Crossref)","title":"The Energy Saving and Emission Reduction Effect of Carbon Trading Pilot Policy in China: Evidence from a Quasi-Natural Experiment","title-short":"The Energy Saving and Emission Reduction Effect of Carbon Trading Pilot Policy in China","volume":"19","author":[{"family":"Zhang","given":"Huan"},{"family":"Wu","given":"Jingyu"}],"issued":{"date-parts":[["2022",7,28]]}}}],"schema":"https://github.com/citation-style-language/schema/raw/master/csl-citation.json"} </w:instrText>
      </w:r>
      <w:r w:rsidRPr="00046F57">
        <w:fldChar w:fldCharType="separate"/>
      </w:r>
      <w:r w:rsidRPr="00046F57">
        <w:t>(H. Zhang &amp; Wu, 2022)</w:t>
      </w:r>
      <w:r w:rsidRPr="00046F57">
        <w:fldChar w:fldCharType="end"/>
      </w:r>
      <w:r w:rsidRPr="00046F57">
        <w:rPr>
          <w:shd w:val="clear" w:color="auto" w:fill="FFFFFF"/>
        </w:rPr>
        <w:t xml:space="preserve">. Thus, we propose:  </w:t>
      </w:r>
    </w:p>
    <w:p w14:paraId="30AC5473" w14:textId="77777777" w:rsidR="008061A3" w:rsidRPr="00046F57" w:rsidRDefault="008061A3" w:rsidP="008061A3">
      <w:pPr>
        <w:pStyle w:val="Newparagraph"/>
        <w:rPr>
          <w:rFonts w:eastAsiaTheme="minorEastAsia"/>
          <w14:ligatures w14:val="standardContextual"/>
        </w:rPr>
      </w:pPr>
      <w:r w:rsidRPr="00046F57">
        <w:rPr>
          <w:rFonts w:eastAsiaTheme="minorEastAsia"/>
          <w14:ligatures w14:val="standardContextual"/>
        </w:rPr>
        <w:t xml:space="preserve">   Hypothesis 4: </w:t>
      </w:r>
      <w:r w:rsidRPr="00046F57">
        <w:rPr>
          <w:shd w:val="clear" w:color="auto" w:fill="FFFFFF"/>
        </w:rPr>
        <w:t>The effect of CETS on TFPGE is stronger in regions with greater energy structure upgrading, measured as increased renewable energy share and reduced coal reliance</w:t>
      </w:r>
      <w:r w:rsidRPr="00046F57">
        <w:rPr>
          <w:rFonts w:eastAsiaTheme="minorEastAsia"/>
          <w14:ligatures w14:val="standardContextual"/>
        </w:rPr>
        <w:t>.</w:t>
      </w:r>
    </w:p>
    <w:p w14:paraId="22B364E8" w14:textId="77777777" w:rsidR="008061A3" w:rsidRDefault="008061A3" w:rsidP="00E12BAC">
      <w:pPr>
        <w:spacing w:line="240" w:lineRule="auto"/>
        <w:rPr>
          <w:lang w:val="en-GB"/>
        </w:rPr>
      </w:pPr>
    </w:p>
    <w:p w14:paraId="58F01F4E" w14:textId="77777777" w:rsidR="00885E73" w:rsidRDefault="00885E73" w:rsidP="00E12BAC">
      <w:pPr>
        <w:spacing w:line="240" w:lineRule="auto"/>
        <w:rPr>
          <w:lang w:val="en-GB"/>
        </w:rPr>
      </w:pPr>
    </w:p>
    <w:p w14:paraId="2C9CDDDE" w14:textId="77777777" w:rsidR="008061A3" w:rsidRPr="008061A3" w:rsidRDefault="008061A3" w:rsidP="00E12BAC">
      <w:pPr>
        <w:spacing w:line="240" w:lineRule="auto"/>
        <w:rPr>
          <w:lang w:val="en-GB"/>
        </w:rPr>
      </w:pPr>
    </w:p>
    <w:p w14:paraId="011DF385" w14:textId="41D07490" w:rsidR="00EB5FF7" w:rsidRPr="008061A3" w:rsidRDefault="008061A3" w:rsidP="008061A3">
      <w:pPr>
        <w:pStyle w:val="Heading1"/>
        <w:rPr>
          <w:b/>
          <w:bCs/>
          <w:i w:val="0"/>
          <w:iCs w:val="0"/>
        </w:rPr>
      </w:pPr>
      <w:r w:rsidRPr="008061A3">
        <w:rPr>
          <w:b/>
          <w:bCs/>
          <w:i w:val="0"/>
          <w:iCs w:val="0"/>
        </w:rPr>
        <w:t xml:space="preserve">3. </w:t>
      </w:r>
      <w:r w:rsidR="0023649F" w:rsidRPr="008061A3">
        <w:rPr>
          <w:b/>
          <w:bCs/>
          <w:i w:val="0"/>
          <w:iCs w:val="0"/>
        </w:rPr>
        <w:t>METHODS</w:t>
      </w:r>
    </w:p>
    <w:p w14:paraId="169773C7" w14:textId="77777777" w:rsidR="002358C6" w:rsidRDefault="002358C6" w:rsidP="00E12BAC">
      <w:pPr>
        <w:spacing w:line="240" w:lineRule="auto"/>
        <w:rPr>
          <w:b/>
        </w:rPr>
      </w:pPr>
    </w:p>
    <w:p w14:paraId="498456C1" w14:textId="77777777" w:rsidR="008061A3" w:rsidRPr="007F6C04" w:rsidRDefault="008061A3" w:rsidP="008061A3">
      <w:pPr>
        <w:pStyle w:val="Heading2"/>
      </w:pPr>
      <w:r w:rsidRPr="007F6C04">
        <w:t xml:space="preserve">3.1 Variable </w:t>
      </w:r>
      <w:r>
        <w:t>C</w:t>
      </w:r>
      <w:r w:rsidRPr="007F6C04">
        <w:t>onstruction and Data Sources</w:t>
      </w:r>
    </w:p>
    <w:p w14:paraId="750100BA" w14:textId="77777777" w:rsidR="008061A3" w:rsidRPr="007F6C04" w:rsidRDefault="008061A3" w:rsidP="008061A3">
      <w:pPr>
        <w:pStyle w:val="Heading3"/>
      </w:pPr>
      <w:r w:rsidRPr="007F6C04">
        <w:t>3.1.1 Variable Construction</w:t>
      </w:r>
    </w:p>
    <w:p w14:paraId="4285DEE0" w14:textId="77777777" w:rsidR="008061A3" w:rsidRPr="00834276" w:rsidRDefault="008061A3" w:rsidP="008061A3">
      <w:pPr>
        <w:pStyle w:val="Heading4Paragraph"/>
      </w:pPr>
      <w:r w:rsidRPr="007F6C04">
        <w:t xml:space="preserve">3.1.1.1 </w:t>
      </w:r>
      <w:r>
        <w:t>Dependent</w:t>
      </w:r>
      <w:r w:rsidRPr="007F6C04">
        <w:t xml:space="preserve"> Variable</w:t>
      </w:r>
    </w:p>
    <w:p w14:paraId="24C4023B" w14:textId="09E6DB4C" w:rsidR="008061A3" w:rsidRDefault="008061A3" w:rsidP="008061A3">
      <w:pPr>
        <w:pStyle w:val="Paragraph"/>
        <w:jc w:val="both"/>
        <w:rPr>
          <w:rFonts w:eastAsia="STIX-Regular"/>
        </w:rPr>
      </w:pPr>
      <w:r w:rsidRPr="007F6C04">
        <w:rPr>
          <w:rFonts w:eastAsia="STIX-Regular"/>
        </w:rPr>
        <w:t xml:space="preserve">    </w:t>
      </w:r>
      <w:r w:rsidRPr="00046F57">
        <w:rPr>
          <w:rFonts w:eastAsia="STIX-Regular"/>
        </w:rPr>
        <w:t xml:space="preserve">Our dependent variable, TFPGE, measures the resource-efficient production of electricity in China’s coal-fired power sector while accounting for environmental impacts, such as CO2 emissions. TFPGE is commonly assessed using DEA models due to their ability to handle multiple inputs and outputs without assuming a specific production function </w:t>
      </w:r>
      <w:r w:rsidRPr="00046F57">
        <w:rPr>
          <w:rFonts w:eastAsia="STIX-Regular"/>
        </w:rPr>
        <w:fldChar w:fldCharType="begin"/>
      </w:r>
      <w:r w:rsidRPr="00046F57">
        <w:rPr>
          <w:rFonts w:eastAsia="STIX-Regular"/>
        </w:rPr>
        <w:instrText xml:space="preserve"> ADDIN ZOTERO_ITEM CSL_CITATION {"citationID":"e45lD9dz","properties":{"formattedCitation":"(M. Meng &amp; Pang, 2023)","plainCitation":"(M. Meng &amp; Pang, 2023)","noteIndex":0},"citationItems":[{"id":504,"uris":["http://zotero.org/users/local/wH06Ygim/items/4SUPPJ5U"],"itemData":{"id":504,"type":"article-journal","abstract":"Abstract\n            Thermal power is the main source of China's electricity supply. Improving total‐factor generation performance (TFGP) is essential for the development of this industry in the current deteriorating operating environment. This study adopts the meta‐frontier nonradial direction distance function approach to measure the static and dynamic TFGPs of the thermal power industry in China's 30 provinces in 2011–2019, and then discusses the regional distribution characteristics and the impact factors using spatial econometric model and Tobit regression method, respectively. Empirical results show that: (I) The TFGPs in central and west China are relatively close, but both are remarkably lower than that in east China. (II) The TFGPs in central and west China have generally remained stable since 2011, whereas that in west China has declined mainly because this region is more susceptible to the situation of electricity supply‐demand. (III) A significant spatial positive correlation exists among provincial TFGPs. High TFGP provinces are mostly in the eastern seaboard region and low TFGP provinces are in southwest China. (IV) Economic development, power structure, fuel prices, and environmental regulation have positive impacts on China's TFGP, while the impacts of technological innovation and energy endowment are not significant.","container-title":"Energy Science &amp; Engineering","DOI":"10.1002/ese3.1468","ISSN":"2050-0505, 2050-0505","issue":"7","journalAbbreviation":"Energy Science &amp; Engineering","language":"en","page":"2668-2685","source":"DOI.org (Crossref)","title":"Total‐factor generation performance analysis of China's thermal power industry using meta‐frontier nonradial distance function approach","volume":"11","author":[{"family":"Meng","given":"Ming"},{"family":"Pang","given":"Tingting"}],"issued":{"date-parts":[["2023",7]]}}}],"schema":"https://github.com/citation-style-language/schema/raw/master/csl-citation.json"} </w:instrText>
      </w:r>
      <w:r w:rsidRPr="00046F57">
        <w:rPr>
          <w:rFonts w:eastAsia="STIX-Regular"/>
        </w:rPr>
        <w:fldChar w:fldCharType="separate"/>
      </w:r>
      <w:r w:rsidRPr="00046F57">
        <w:rPr>
          <w:rFonts w:eastAsia="STIX-Regular"/>
        </w:rPr>
        <w:t>(M. Meng &amp; Pang, 2023)</w:t>
      </w:r>
      <w:r w:rsidRPr="00046F57">
        <w:rPr>
          <w:rFonts w:eastAsia="STIX-Regular"/>
        </w:rPr>
        <w:fldChar w:fldCharType="end"/>
      </w:r>
      <w:r w:rsidRPr="00046F57">
        <w:rPr>
          <w:rFonts w:eastAsia="STIX-Regular"/>
        </w:rPr>
        <w:t xml:space="preserve">. </w:t>
      </w:r>
    </w:p>
    <w:p w14:paraId="4C14B7CE" w14:textId="77777777" w:rsidR="008061A3" w:rsidRPr="008061A3" w:rsidRDefault="008061A3" w:rsidP="008061A3">
      <w:pPr>
        <w:pStyle w:val="Newparagraph"/>
        <w:rPr>
          <w:rFonts w:eastAsia="STIX-Regular"/>
        </w:rPr>
      </w:pPr>
    </w:p>
    <w:p w14:paraId="0E965685" w14:textId="77777777" w:rsidR="008061A3" w:rsidRPr="00834276" w:rsidRDefault="008061A3" w:rsidP="008061A3">
      <w:pPr>
        <w:pStyle w:val="Heading5"/>
        <w:rPr>
          <w:color w:val="auto"/>
        </w:rPr>
      </w:pPr>
      <w:r w:rsidRPr="00834276">
        <w:rPr>
          <w:color w:val="auto"/>
        </w:rPr>
        <w:t>3.1.1.1.1 Data envelopment analysis (DEA) model development</w:t>
      </w:r>
    </w:p>
    <w:p w14:paraId="55B34B8F" w14:textId="183183B6" w:rsidR="00C916FE" w:rsidRPr="00C916FE" w:rsidRDefault="008061A3" w:rsidP="00C916FE">
      <w:pPr>
        <w:spacing w:before="240"/>
        <w:jc w:val="both"/>
        <w:rPr>
          <w:color w:val="000000"/>
          <w:lang w:eastAsia="zh-CN"/>
        </w:rPr>
      </w:pPr>
      <w:r w:rsidRPr="007F6C04">
        <w:t xml:space="preserve">    </w:t>
      </w:r>
      <w:r w:rsidR="00C916FE" w:rsidRPr="00C916FE">
        <w:rPr>
          <w:color w:val="000000"/>
          <w:lang w:eastAsia="zh-CN"/>
        </w:rPr>
        <w:t xml:space="preserve">In production theory, efficiency evaluation uses parametric (e.g., Stochastic Frontier Analysis) and non-parametric methods like Data Envelopment Analysis (DEA) </w:t>
      </w:r>
      <w:r w:rsidR="00C916FE" w:rsidRPr="00C916FE">
        <w:rPr>
          <w:shd w:val="clear" w:color="auto" w:fill="FFFFFF"/>
        </w:rPr>
        <w:fldChar w:fldCharType="begin"/>
      </w:r>
      <w:r w:rsidR="00C916FE" w:rsidRPr="00C916FE">
        <w:rPr>
          <w:shd w:val="clear" w:color="auto" w:fill="FFFFFF"/>
        </w:rPr>
        <w:instrText xml:space="preserve"> ADDIN ZOTERO_ITEM CSL_CITATION {"citationID":"Jq3iQEbK","properties":{"formattedCitation":"(G. Li et al., 2022)","plainCitation":"(G. Li et al., 2022)","noteIndex":0},"citationItems":[{"id":795,"uris":["http://zotero.org/users/local/wH06Ygim/items/MIMDU2SR"],"itemData":{"id":795,"type":"article-journal","container-title":"Energy","DOI":"10.1016/j.energy.2022.123979","ISSN":"03605442","journalAbbreviation":"Energy","language":"en","page":"123979","source":"DOI.org (Crossref)","title":"Improve technical efficiency of China's coal-fired power enterprises: Taking a coal-fired-withdrawl context","title-short":"Improve technical efficiency of China's coal-fired power enterprises","volume":"252","author":[{"family":"Li","given":"Gao"},{"family":"Ruonan","given":"Li"},{"family":"Yingdan","given":"Mei"},{"family":"Xiaoli","given":"Zhao"}],"issued":{"date-parts":[["2022",8]]}}}],"schema":"https://github.com/citation-style-language/schema/raw/master/csl-citation.json"} </w:instrText>
      </w:r>
      <w:r w:rsidR="00C916FE" w:rsidRPr="00C916FE">
        <w:rPr>
          <w:shd w:val="clear" w:color="auto" w:fill="FFFFFF"/>
        </w:rPr>
        <w:fldChar w:fldCharType="separate"/>
      </w:r>
      <w:r w:rsidR="00C916FE" w:rsidRPr="00C916FE">
        <w:t>(G. Li et al., 2022)</w:t>
      </w:r>
      <w:r w:rsidR="00C916FE" w:rsidRPr="00C916FE">
        <w:rPr>
          <w:shd w:val="clear" w:color="auto" w:fill="FFFFFF"/>
        </w:rPr>
        <w:fldChar w:fldCharType="end"/>
      </w:r>
      <w:r w:rsidR="00C916FE" w:rsidRPr="00C916FE">
        <w:rPr>
          <w:color w:val="000000"/>
          <w:lang w:eastAsia="zh-CN"/>
        </w:rPr>
        <w:t xml:space="preserve">. DEA, a non-parametric approach, assesses decision-making units (DMUs) by constructing a production frontier, ideal for complex input-output relationships in the coal sector </w:t>
      </w:r>
      <w:r w:rsidR="00C916FE" w:rsidRPr="00C916FE">
        <w:fldChar w:fldCharType="begin"/>
      </w:r>
      <w:r w:rsidR="00C916FE" w:rsidRPr="00C916FE">
        <w:instrText xml:space="preserve"> ADDIN ZOTERO_ITEM CSL_CITATION {"citationID":"TAncQWYS","properties":{"formattedCitation":"(Banker et al., 1984; Charnes et al., 1978)","plainCitation":"(Banker et al., 1984; Charnes et al., 1978)","noteIndex":0},"citationItems":[{"id":466,"uris":["http://zotero.org/users/local/wH06Ygim/items/IAW28MSA"],"itemData":{"id":466,"type":"article-journal","abstract":"In management contexts, mathematical programming is usually used to evaluate a collection of possible alternative courses of action en route to selecting one which is best. In this capacity, mathematical programming serves as a planning aid to management. Data Envelopment Analysis reverses this role and employs mathematical programming to obtain ex post facto evaluations of the relative efficiency of management accomplishments, however they may have been planned or executed. Mathematical programming is thereby extended for use as a tool for control and evaluation of past accomplishments as well as a tool to aid in planning future activities. The CCR ratio form introduced by Charnes, Cooper and Rhodes, as part of their Data Envelopment Analysis approach, comprehends both technical and scale inefficiencies via the optimal value of the ratio form, as obtained directly from the data without requiring a priori specification of weights and/or explicit delineation of assumed functional forms of relations between inputs and outputs. A separation into technical and scale efficiencies is accomplished by the methods developed in this paper without altering the latter conditions for use of DEA directly on observational data. Technical inefficiencies are identified with failures to achieve best possible output levels and/or usage of excessive amounts of inputs. Methods for identifying and correcting the magnitudes of these inefficiencies, as supplied in prior work, are illustrated. In the present paper, a new separate variable is introduced which makes it possible to determine whether operations were conducted in regions of increasing, constant or decreasing returns to scale (in multiple input and multiple output situations). The results are discussed and related not only to classical (single output) economics but also to more modern versions of economics which are identified with “contestable market theories.”","container-title":"Management Science","DOI":"10.1287/mnsc.30.9.1078","ISSN":"0025-1909, 1526-5501","issue":"9","journalAbbreviation":"Management Science","language":"en","page":"1078-1092","source":"DOI.org (Crossref)","title":"Some Models for Estimating Technical and Scale Inefficiencies in Data Envelopment Analysis","volume":"30","author":[{"family":"Banker","given":"R. D."},{"family":"Charnes","given":"A."},{"family":"Cooper","given":"W. W."}],"issued":{"date-parts":[["1984",9]]}}},{"id":733,"uris":["http://zotero.org/users/local/wH06Ygim/items/MVGJSDLA"],"itemData":{"id":733,"type":"article-journal","container-title":"European Journal of Operational Research","DOI":"10.1016/0377-2217(78)90138-8","ISSN":"03772217","issue":"6","journalAbbreviation":"European Journal of Operational Research","language":"en","license":"https://www.elsevier.com/tdm/userlicense/1.0/","page":"429-444","source":"DOI.org (Crossref)","title":"Measuring the efficiency of decision making units","volume":"2","author":[{"family":"Charnes","given":"A."},{"family":"Cooper","given":"W.W."},{"family":"Rhodes","given":"E."}],"issued":{"date-parts":[["1978",11]]}}}],"schema":"https://github.com/citation-style-language/schema/raw/master/csl-citation.json"} </w:instrText>
      </w:r>
      <w:r w:rsidR="00C916FE" w:rsidRPr="00C916FE">
        <w:fldChar w:fldCharType="separate"/>
      </w:r>
      <w:r w:rsidR="00C916FE" w:rsidRPr="00C916FE">
        <w:t>(Banker et al., 1984; Charnes et al., 1978)</w:t>
      </w:r>
      <w:r w:rsidR="00C916FE" w:rsidRPr="00C916FE">
        <w:fldChar w:fldCharType="end"/>
      </w:r>
      <w:r w:rsidR="00C916FE" w:rsidRPr="00C916FE">
        <w:t xml:space="preserve">. </w:t>
      </w:r>
      <w:r w:rsidR="00C916FE" w:rsidRPr="00C916FE">
        <w:rPr>
          <w:color w:val="000000"/>
          <w:lang w:eastAsia="zh-CN"/>
        </w:rPr>
        <w:t xml:space="preserve">Unlike SFA, DEA requires no functional form assumptions, handles multiple inputs (e.g., capital, labor) and outputs (e.g., electricity, CO2), and is unit-invariant </w:t>
      </w:r>
      <w:r w:rsidR="00C916FE" w:rsidRPr="00C916FE">
        <w:fldChar w:fldCharType="begin"/>
      </w:r>
      <w:r w:rsidR="00C916FE" w:rsidRPr="00C916FE">
        <w:instrText xml:space="preserve"> ADDIN ZOTERO_ITEM CSL_CITATION {"citationID":"LQ04W1A2","properties":{"formattedCitation":"(Fang et al., 2022; Q. Xie et al., 2021; Y. Zhu et al., 2022)","plainCitation":"(Fang et al., 2022; Q. Xie et al., 2021; Y. Zhu et al., 2022)","noteIndex":0},"citationItems":[{"id":722,"uris":["http://zotero.org/users/local/wH06Ygim/items/NK7LQCWR"],"itemData":{"id":722,"type":"article-journal","container-title":"Energy Policy","DOI":"10.1016/j.enpol.2022.112955","ISSN":"03014215","journalAbbreviation":"Energy Policy","language":"en","page":"112955","source":"DOI.org (Crossref)","title":"Carbon emission efficiency of thermal power generation in China: Empirical evidence from the micro-perspective of power plants","title-short":"Carbon emission efficiency of thermal power generation in China","volume":"165","author":[{"family":"Fang","given":"Tao"},{"family":"Fang","given":"Debin"},{"family":"Yu","given":"Bolin"}],"issued":{"date-parts":[["2022",6]]}}},{"id":471,"uris":["http://zotero.org/users/local/wH06Ygim/items/K962USRH"],"itemData":{"id":471,"type":"article-journal","container-title":"Annals of Operations Research","DOI":"10.1007/s10479-021-04148-3","ISSN":"0254-5330, 1572-9338","issue":"1-2","journalAbbreviation":"Ann Oper Res","language":"en","page":"273-323","source":"DOI.org (Crossref)","title":"Evaluating performance of super-efficiency models in ranking efficient decision-making units based on Monte Carlo simulations","volume":"305","author":[{"family":"Xie","given":"Qiwei"},{"family":"Zhang","given":"Linda L."},{"family":"Shang","given":"Haichao"},{"family":"Emrouznejad","given":"Ali"},{"family":"Li","given":"Yongjun"}],"issued":{"date-parts":[["2021",10]]}}},{"id":148,"uris":["http://zotero.org/users/local/wH06Ygim/items/KK3JJFA9"],"itemData":{"id":148,"type":"article-journal","container-title":"Expert Systems with Applications","DOI":"10.1016/j.eswa.2022.118183","ISSN":"09574174","journalAbbreviation":"Expert Systems with Applications","language":"en","page":"118183","source":"DOI.org (Crossref)","title":"Measuring environmental efficiency of the EU based on a DEA approach with fixed cost allocation under different decision goals","volume":"208","author":[{"family":"Zhu","given":"Yu"},{"family":"Yang","given":"Feng"},{"family":"Wei","given":"Fangqing"},{"family":"Wang","given":"Dawei"}],"issued":{"date-parts":[["2022",12]]}}}],"schema":"https://github.com/citation-style-language/schema/raw/master/csl-citation.json"} </w:instrText>
      </w:r>
      <w:r w:rsidR="00C916FE" w:rsidRPr="00C916FE">
        <w:fldChar w:fldCharType="separate"/>
      </w:r>
      <w:r w:rsidR="00C916FE" w:rsidRPr="00C916FE">
        <w:t>(Fang et al., 2022; Q. Xie et al., 2021; Y. Zhu et al., 2022)</w:t>
      </w:r>
      <w:r w:rsidR="00C916FE" w:rsidRPr="00C916FE">
        <w:fldChar w:fldCharType="end"/>
      </w:r>
      <w:r w:rsidR="00C916FE" w:rsidRPr="00C916FE">
        <w:rPr>
          <w:color w:val="000000"/>
          <w:lang w:eastAsia="zh-CN"/>
        </w:rPr>
        <w:t xml:space="preserve">. </w:t>
      </w:r>
      <w:r w:rsidR="00C916FE" w:rsidRPr="00C916FE">
        <w:rPr>
          <w:color w:val="000000"/>
          <w:lang w:eastAsia="zh-CN"/>
        </w:rPr>
        <w:t xml:space="preserve">The BCC model, an advancement over the CCR </w:t>
      </w:r>
      <w:r w:rsidR="00C916FE" w:rsidRPr="00C916FE">
        <w:rPr>
          <w:color w:val="000000"/>
          <w:lang w:eastAsia="zh-CN"/>
        </w:rPr>
        <w:lastRenderedPageBreak/>
        <w:t xml:space="preserve">model, accounts for variable returns to scale, separating pure technical and scale efficiency </w:t>
      </w:r>
      <w:r w:rsidR="00C916FE" w:rsidRPr="00C916FE">
        <w:fldChar w:fldCharType="begin"/>
      </w:r>
      <w:r w:rsidR="00C916FE" w:rsidRPr="00C916FE">
        <w:instrText xml:space="preserve"> ADDIN ZOTERO_ITEM CSL_CITATION {"citationID":"QanPy3lY","properties":{"formattedCitation":"(Banker et al., 1984; Yadava et al., 2025)","plainCitation":"(Banker et al., 1984; Yadava et al., 2025)","noteIndex":0},"citationItems":[{"id":466,"uris":["http://zotero.org/users/local/wH06Ygim/items/IAW28MSA"],"itemData":{"id":466,"type":"article-journal","abstract":"In management contexts, mathematical programming is usually used to evaluate a collection of possible alternative courses of action en route to selecting one which is best. In this capacity, mathematical programming serves as a planning aid to management. Data Envelopment Analysis reverses this role and employs mathematical programming to obtain ex post facto evaluations of the relative efficiency of management accomplishments, however they may have been planned or executed. Mathematical programming is thereby extended for use as a tool for control and evaluation of past accomplishments as well as a tool to aid in planning future activities. The CCR ratio form introduced by Charnes, Cooper and Rhodes, as part of their Data Envelopment Analysis approach, comprehends both technical and scale inefficiencies via the optimal value of the ratio form, as obtained directly from the data without requiring a priori specification of weights and/or explicit delineation of assumed functional forms of relations between inputs and outputs. A separation into technical and scale efficiencies is accomplished by the methods developed in this paper without altering the latter conditions for use of DEA directly on observational data. Technical inefficiencies are identified with failures to achieve best possible output levels and/or usage of excessive amounts of inputs. Methods for identifying and correcting the magnitudes of these inefficiencies, as supplied in prior work, are illustrated. In the present paper, a new separate variable is introduced which makes it possible to determine whether operations were conducted in regions of increasing, constant or decreasing returns to scale (in multiple input and multiple output situations). The results are discussed and related not only to classical (single output) economics but also to more modern versions of economics which are identified with “contestable market theories.”","container-title":"Management Science","DOI":"10.1287/mnsc.30.9.1078","ISSN":"0025-1909, 1526-5501","issue":"9","journalAbbreviation":"Management Science","language":"en","page":"1078-1092","source":"DOI.org (Crossref)","title":"Some Models for Estimating Technical and Scale Inefficiencies in Data Envelopment Analysis","volume":"30","author":[{"family":"Banker","given":"R. D."},{"family":"Charnes","given":"A."},{"family":"Cooper","given":"W. W."}],"issued":{"date-parts":[["1984",9]]}}},{"id":763,"uris":["http://zotero.org/users/local/wH06Ygim/items/UIGAB27H"],"itemData":{"id":763,"type":"article-journal","container-title":"Energy Economics","DOI":"10.1016/j.eneco.2025.108396","ISSN":"01409883","journalAbbreviation":"Energy Economics","language":"en","page":"108396","source":"DOI.org (Crossref)","title":"Benchmarking the performance of Indian electricity distribution companies: The applications of multi-stage robust DEA and SFA models","title-short":"Benchmarking the performance of Indian electricity distribution companies","author":[{"family":"Yadava","given":"Anup Kumar"},{"family":"Chakraborty","given":"Soumyajit"},{"family":"Gupta","given":"Sonal"}],"issued":{"date-parts":[["2025",3]]}}}],"schema":"https://github.com/citation-style-language/schema/raw/master/csl-citation.json"} </w:instrText>
      </w:r>
      <w:r w:rsidR="00C916FE" w:rsidRPr="00C916FE">
        <w:fldChar w:fldCharType="separate"/>
      </w:r>
      <w:r w:rsidR="00C916FE" w:rsidRPr="00C916FE">
        <w:t>(Banker et al., 1984; Yadava et al., 2025)</w:t>
      </w:r>
      <w:r w:rsidR="00C916FE" w:rsidRPr="00C916FE">
        <w:fldChar w:fldCharType="end"/>
      </w:r>
      <w:r w:rsidR="00C916FE" w:rsidRPr="00C916FE">
        <w:rPr>
          <w:color w:val="000000"/>
          <w:lang w:eastAsia="zh-CN"/>
        </w:rPr>
        <w:t xml:space="preserve">. </w:t>
      </w:r>
      <w:r w:rsidR="00C916FE" w:rsidRPr="00C916FE">
        <w:rPr>
          <w:color w:val="000000"/>
          <w:lang w:eastAsia="zh-CN"/>
        </w:rPr>
        <w:t xml:space="preserve">DEA has been widely applied in power sector studies. </w:t>
      </w:r>
      <w:r w:rsidR="00C916FE" w:rsidRPr="00C916FE">
        <w:fldChar w:fldCharType="begin"/>
      </w:r>
      <w:r w:rsidR="00C916FE" w:rsidRPr="00C916FE">
        <w:instrText xml:space="preserve"> ADDIN ZOTERO_ITEM CSL_CITATION {"citationID":"QykjeNas","properties":{"formattedCitation":"(Y. Pan et al., 2024)","plainCitation":"(Y. Pan et al., 2024)","noteIndex":0},"citationItems":[{"id":773,"uris":["http://zotero.org/users/local/wH06Ygim/items/5ZB7QCR2"],"itemData":{"id":773,"type":"article-journal","container-title":"European Journal of Operational Research","DOI":"10.1016/j.ejor.2024.11.019","ISSN":"03772217","journalAbbreviation":"European Journal of Operational Research","language":"en","page":"S0377221724008889","source":"DOI.org (Crossref)","title":"Measuring carbon emission performance in China's energy market: Evidence from improved non-radial directional distance function data envelopment analysis","title-short":"Measuring carbon emission performance in China's energy market","author":[{"family":"Pan","given":"Yinghao"},{"family":"Wu","given":"Jie"},{"family":"Zhang","given":"Chao-Chao"},{"family":"Nasir","given":"Muhammad Ali"}],"issued":{"date-parts":[["2024",11]]}}}],"schema":"https://github.com/citation-style-language/schema/raw/master/csl-citation.json"} </w:instrText>
      </w:r>
      <w:r w:rsidR="00C916FE" w:rsidRPr="00C916FE">
        <w:fldChar w:fldCharType="separate"/>
      </w:r>
      <w:r w:rsidR="00C916FE" w:rsidRPr="00C916FE">
        <w:t>(Y. Pan et al., 2024)</w:t>
      </w:r>
      <w:r w:rsidR="00C916FE" w:rsidRPr="00C916FE">
        <w:fldChar w:fldCharType="end"/>
      </w:r>
      <w:r w:rsidR="00C916FE" w:rsidRPr="00C916FE">
        <w:rPr>
          <w:color w:val="000000"/>
          <w:lang w:eastAsia="zh-CN"/>
        </w:rPr>
        <w:t xml:space="preserve"> evaluated 15 eastern Chinese power firms (2016–2020) using a model with undesirable outputs and the Malmquist-Luenberger index. </w:t>
      </w:r>
      <w:r w:rsidR="00C916FE" w:rsidRPr="00C916FE">
        <w:t xml:space="preserve"> </w:t>
      </w:r>
      <w:r w:rsidR="00C916FE" w:rsidRPr="00C916FE">
        <w:fldChar w:fldCharType="begin"/>
      </w:r>
      <w:r w:rsidR="00C916FE" w:rsidRPr="00C916FE">
        <w:instrText xml:space="preserve"> ADDIN ZOTERO_ITEM CSL_CITATION {"citationID":"tORM8PaB","properties":{"formattedCitation":"(B.-C. Xie et al., 2021)","plainCitation":"(B.-C. Xie et al., 2021)","noteIndex":0},"citationItems":[{"id":793,"uris":["http://zotero.org/users/local/wH06Ygim/items/2YZF65GI"],"itemData":{"id":793,"type":"article-journal","container-title":"Environmental Science and Pollution Research","DOI":"10.1007/s11356-020-10237-w","ISSN":"0944-1344, 1614-7499","issue":"2","journalAbbreviation":"Environ Sci Pollut Res","language":"en","page":"1697-1711","source":"DOI.org (Crossref)","title":"Dynamic environmental efficiency analysis of China’s power generation enterprises: a game cross-Malmquist index approach","title-short":"Dynamic environmental efficiency analysis of China’s power generation enterprises","volume":"28","author":[{"family":"Xie","given":"Bai-Chen"},{"family":"Chen","given":"Yun-Fei"},{"family":"Gao","given":"Jie"},{"family":"Zhang","given":"Shuang"}],"issued":{"date-parts":[["2021",1]]}}}],"schema":"https://github.com/citation-style-language/schema/raw/master/csl-citation.json"} </w:instrText>
      </w:r>
      <w:r w:rsidR="00C916FE" w:rsidRPr="00C916FE">
        <w:fldChar w:fldCharType="separate"/>
      </w:r>
      <w:r w:rsidR="00C916FE" w:rsidRPr="00C916FE">
        <w:t>(B.-C. Xie et al., 2021)</w:t>
      </w:r>
      <w:r w:rsidR="00C916FE" w:rsidRPr="00C916FE">
        <w:fldChar w:fldCharType="end"/>
      </w:r>
      <w:r w:rsidR="00C916FE" w:rsidRPr="00C916FE">
        <w:t xml:space="preserve"> </w:t>
      </w:r>
      <w:r w:rsidR="00C916FE" w:rsidRPr="00C916FE">
        <w:rPr>
          <w:color w:val="000000"/>
          <w:lang w:eastAsia="zh-CN"/>
        </w:rPr>
        <w:t>combined DEA game cross-efficiency with the Malmquist index for 18 firms (2007–2016).</w:t>
      </w:r>
      <w:r w:rsidR="00C916FE" w:rsidRPr="00C916FE">
        <w:rPr>
          <w:color w:val="000000"/>
          <w:lang w:eastAsia="zh-CN"/>
        </w:rPr>
        <w:t xml:space="preserve"> </w:t>
      </w:r>
      <w:r w:rsidR="00C916FE" w:rsidRPr="00C916FE">
        <w:fldChar w:fldCharType="begin"/>
      </w:r>
      <w:r w:rsidR="00C916FE" w:rsidRPr="00C916FE">
        <w:instrText xml:space="preserve"> ADDIN ZOTERO_ITEM CSL_CITATION {"citationID":"zHEUDcYM","properties":{"formattedCitation":"(Feng et al., 2022)","plainCitation":"(Feng et al., 2022)","noteIndex":0},"citationItems":[{"id":798,"uris":["http://zotero.org/users/local/wH06Ygim/items/AS4EC7IQ"],"itemData":{"id":798,"type":"article-journal","abstract":"Coal-based thermal power generation has long been the main source of power generation in the mainland of China. The efficiency of power generation is an important factor that determines the energy conservation and emission reduction as well as the sustainable development of the power industry in China. By comparing the regional differences of 30 provinces in the mainland from 2013 to 2017, this study uses the Super-DDF model and the TFEE to comprehensively evaluate the energy efficiency of thermal power generation. Empirical results: Overall efficiency: eastern efficiency (1.181) is the highest, followed by western (0.956), central (0.951) and northeastern (0.926). Total factor energy efficiency: eastern efficiency (0.923) is the highest, followed by western (0.754), central (0.742) and northeastern (0.710). The government and power industry managers should fully consider the regional differences in the field of thermal power generation when formulating policies so as to improve the power efficiency and promote the green development of power industry in China. Based on the analysis results, although the coal-fired power industry is more mature than other alternative energy industries, the expansion of thermal power generation cannot be considered if CO2 emissions are to be reduced. Additionally, the market share and competitiveness of the local power industry can be increased based on the different conditions of the resource endowments of each region.","container-title":"Sustainability","DOI":"10.3390/su14010504","ISSN":"2071-1050","issue":"1","journalAbbreviation":"Sustainability","language":"en","license":"https://creativecommons.org/licenses/by/4.0/","page":"504","source":"DOI.org (Crossref)","title":"Total Factor Energy Efficiency of China’s Thermal Power Industry","volume":"14","author":[{"family":"Feng","given":"Ying"},{"family":"Lu","given":"Ching-Cheng"},{"family":"Lin","given":"I-Fang"},{"family":"Yang","given":"An-Chi"},{"family":"Lin","given":"Po-Chun"}],"issued":{"date-parts":[["2022",1,4]]}}}],"schema":"https://github.com/citation-style-language/schema/raw/master/csl-citation.json"} </w:instrText>
      </w:r>
      <w:r w:rsidR="00C916FE" w:rsidRPr="00C916FE">
        <w:fldChar w:fldCharType="separate"/>
      </w:r>
      <w:r w:rsidR="00C916FE" w:rsidRPr="00C916FE">
        <w:t>(Feng et al., 2022)</w:t>
      </w:r>
      <w:r w:rsidR="00C916FE" w:rsidRPr="00C916FE">
        <w:fldChar w:fldCharType="end"/>
      </w:r>
      <w:r w:rsidR="00C916FE" w:rsidRPr="00C916FE">
        <w:rPr>
          <w:color w:val="000000"/>
          <w:lang w:eastAsia="zh-CN"/>
        </w:rPr>
        <w:t xml:space="preserve"> used the Super-DDF model for thermal power efficiency across 30 provinces (2013–2017). </w:t>
      </w:r>
      <w:r w:rsidR="00C916FE" w:rsidRPr="00C916FE">
        <w:rPr>
          <w:rFonts w:eastAsia="STIX-Regular"/>
          <w14:ligatures w14:val="standardContextual"/>
        </w:rPr>
        <w:fldChar w:fldCharType="begin"/>
      </w:r>
      <w:r w:rsidR="00C916FE" w:rsidRPr="00C916FE">
        <w:rPr>
          <w:rFonts w:eastAsia="STIX-Regular"/>
          <w14:ligatures w14:val="standardContextual"/>
        </w:rPr>
        <w:instrText xml:space="preserve"> ADDIN ZOTERO_ITEM CSL_CITATION {"citationID":"su8WuSXM","properties":{"formattedCitation":"(Eguchi et al., 2021)","plainCitation":"(Eguchi et al., 2021)","noteIndex":0},"citationItems":[{"id":778,"uris":["http://zotero.org/users/local/wH06Ygim/items/T4I3A4XL"],"itemData":{"id":778,"type":"article-journal","container-title":"Renewable and Sustainable Energy Reviews","DOI":"10.1016/j.rser.2020.110562","ISSN":"13640321","journalAbbreviation":"Renewable and Sustainable Energy Reviews","language":"en","page":"110562","source":"DOI.org (Crossref)","title":"Sources of inefficient power generation by coal-fired thermal power plants in China: A metafrontier DEA decomposition approach","title-short":"Sources of inefficient power generation by coal-fired thermal power plants in China","volume":"138","author":[{"family":"Eguchi","given":"Shogo"},{"family":"Takayabu","given":"Hirotaka"},{"family":"Lin","given":"Chen"}],"issued":{"date-parts":[["2021",3]]}}}],"schema":"https://github.com/citation-style-language/schema/raw/master/csl-citation.json"} </w:instrText>
      </w:r>
      <w:r w:rsidR="00C916FE" w:rsidRPr="00C916FE">
        <w:rPr>
          <w:rFonts w:eastAsia="STIX-Regular"/>
          <w14:ligatures w14:val="standardContextual"/>
        </w:rPr>
        <w:fldChar w:fldCharType="separate"/>
      </w:r>
      <w:r w:rsidR="00C916FE" w:rsidRPr="00C916FE">
        <w:rPr>
          <w:rFonts w:eastAsia="STIX-Regular"/>
        </w:rPr>
        <w:t>(Eguchi et al., 2021)</w:t>
      </w:r>
      <w:r w:rsidR="00C916FE" w:rsidRPr="00C916FE">
        <w:rPr>
          <w:rFonts w:eastAsia="STIX-Regular"/>
          <w14:ligatures w14:val="standardContextual"/>
        </w:rPr>
        <w:fldChar w:fldCharType="end"/>
      </w:r>
      <w:r w:rsidR="00C916FE" w:rsidRPr="00C916FE">
        <w:rPr>
          <w:color w:val="000000"/>
          <w:lang w:eastAsia="zh-CN"/>
        </w:rPr>
        <w:t xml:space="preserve"> and </w:t>
      </w:r>
      <w:r w:rsidR="00C916FE" w:rsidRPr="00C916FE">
        <w:fldChar w:fldCharType="begin"/>
      </w:r>
      <w:r w:rsidR="00C916FE" w:rsidRPr="00C916FE">
        <w:instrText xml:space="preserve"> ADDIN ZOTERO_ITEM CSL_CITATION {"citationID":"jzXojNda","properties":{"formattedCitation":"(F. Dong et al., 2024)","plainCitation":"(F. Dong et al., 2024)","noteIndex":0},"citationItems":[{"id":766,"uris":["http://zotero.org/users/local/wH06Ygim/items/DVYU53AI"],"itemData":{"id":766,"type":"article-journal","container-title":"Journal of Cleaner Production","DOI":"10.1016/j.jclepro.2024.140818","ISSN":"09596526","journalAbbreviation":"Journal of Cleaner Production","language":"en","page":"140818","source":"DOI.org (Crossref)","title":"Measurement and decomposition of environmental efficiency in the power industry based on multi-hierarchy meta-frontier BAM model","volume":"441","author":[{"family":"Dong","given":"Feng"},{"family":"Chen","given":"Yuhuan"},{"family":"Sun","given":"Jiaojiao"},{"family":"Li","given":"Jingyun"},{"family":"Wang","given":"Lubing"},{"family":"Dong","given":"Tianqi"},{"family":"Cui","given":"Jue"}],"issued":{"date-parts":[["2024",2]]}}}],"schema":"https://github.com/citation-style-language/schema/raw/master/csl-citation.json"} </w:instrText>
      </w:r>
      <w:r w:rsidR="00C916FE" w:rsidRPr="00C916FE">
        <w:fldChar w:fldCharType="separate"/>
      </w:r>
      <w:r w:rsidR="00C916FE" w:rsidRPr="00C916FE">
        <w:t>(F. Dong et al., 2024)</w:t>
      </w:r>
      <w:r w:rsidR="00C916FE" w:rsidRPr="00C916FE">
        <w:fldChar w:fldCharType="end"/>
      </w:r>
      <w:r w:rsidR="00C916FE" w:rsidRPr="00C916FE">
        <w:t xml:space="preserve"> </w:t>
      </w:r>
      <w:r w:rsidR="00C916FE" w:rsidRPr="00C916FE">
        <w:rPr>
          <w:color w:val="000000"/>
          <w:lang w:eastAsia="zh-CN"/>
        </w:rPr>
        <w:t>applied meta-frontier DEA to analyze coal power inefficiencies and environmental efficiency, respectively.</w:t>
      </w:r>
    </w:p>
    <w:p w14:paraId="754CD76D" w14:textId="479C08CC" w:rsidR="00C916FE" w:rsidRPr="00C916FE" w:rsidRDefault="008061A3" w:rsidP="00C916FE">
      <w:pPr>
        <w:spacing w:before="240"/>
        <w:jc w:val="both"/>
        <w:rPr>
          <w:color w:val="000000"/>
          <w:lang w:eastAsia="zh-CN"/>
        </w:rPr>
      </w:pPr>
      <w:r w:rsidRPr="00046F57">
        <w:t xml:space="preserve">    </w:t>
      </w:r>
      <w:r w:rsidR="00C916FE">
        <w:t xml:space="preserve">         </w:t>
      </w:r>
      <w:r w:rsidR="00C916FE" w:rsidRPr="00C916FE">
        <w:rPr>
          <w:color w:val="000000"/>
          <w:lang w:eastAsia="zh-CN"/>
        </w:rPr>
        <w:t xml:space="preserve">Traditional DEA models (e.g., CCR, BCC) often overestimate efficiency by ignoring input/output slacks and struggle to differentiate efficient decision-making units (DMUs) </w:t>
      </w:r>
      <w:r w:rsidR="00C916FE" w:rsidRPr="00C916FE">
        <w:rPr>
          <w:shd w:val="clear" w:color="auto" w:fill="FFFFFF"/>
        </w:rPr>
        <w:fldChar w:fldCharType="begin"/>
      </w:r>
      <w:r w:rsidR="00C916FE" w:rsidRPr="00C916FE">
        <w:rPr>
          <w:shd w:val="clear" w:color="auto" w:fill="FFFFFF"/>
        </w:rPr>
        <w:instrText xml:space="preserve"> ADDIN ZOTERO_ITEM CSL_CITATION {"citationID":"xptu3leh","properties":{"formattedCitation":"(Nakaishi et al., 2021; Tone, 2001)","plainCitation":"(Nakaishi et al., 2021; Tone, 2001)","noteIndex":0},"citationItems":[{"id":719,"uris":["http://zotero.org/users/local/wH06Ygim/items/FPNPGIHN"],"itemData":{"id":719,"type":"article-journal","container-title":"Energy Economics","DOI":"10.1016/j.eneco.2021.105511","ISSN":"01409883","journalAbbreviation":"Energy Economics","language":"en","page":"105511","source":"DOI.org (Crossref)","title":"Environmental efficiency analysis of China's coal-fired power plants considering heterogeneity in power generation company groups","volume":"102","author":[{"family":"Nakaishi","given":"Tomoaki"},{"family":"Takayabu","given":"Hirotaka"},{"family":"Eguchi","given":"Shogo"}],"issued":{"date-parts":[["2021",10]]}}},{"id":458,"uris":["http://zotero.org/users/local/wH06Ygim/items/LMMDYWDI"],"itemData":{"id":458,"type":"article-journal","container-title":"European Journal of Operational Research","DOI":"10.1016/S0377-2217(99)00407-5","ISSN":"03772217","issue":"3","journalAbbreviation":"European Journal of Operational Research","language":"en","license":"https://www.elsevier.com/tdm/userlicense/1.0/","page":"498-509","source":"DOI.org (Crossref)","title":"A slacks-based measure of efficiency in data envelopment analysis","volume":"130","author":[{"family":"Tone","given":"Kaoru"}],"issued":{"date-parts":[["2001",5]]}}}],"schema":"https://github.com/citation-style-language/schema/raw/master/csl-citation.json"} </w:instrText>
      </w:r>
      <w:r w:rsidR="00C916FE" w:rsidRPr="00C916FE">
        <w:rPr>
          <w:shd w:val="clear" w:color="auto" w:fill="FFFFFF"/>
        </w:rPr>
        <w:fldChar w:fldCharType="separate"/>
      </w:r>
      <w:r w:rsidR="00C916FE" w:rsidRPr="00C916FE">
        <w:t>(</w:t>
      </w:r>
      <w:proofErr w:type="spellStart"/>
      <w:r w:rsidR="00C916FE" w:rsidRPr="00C916FE">
        <w:t>Nakaishi</w:t>
      </w:r>
      <w:proofErr w:type="spellEnd"/>
      <w:r w:rsidR="00C916FE" w:rsidRPr="00C916FE">
        <w:t xml:space="preserve"> et al., 2021; Tone, 2001)</w:t>
      </w:r>
      <w:r w:rsidR="00C916FE" w:rsidRPr="00C916FE">
        <w:rPr>
          <w:shd w:val="clear" w:color="auto" w:fill="FFFFFF"/>
        </w:rPr>
        <w:fldChar w:fldCharType="end"/>
      </w:r>
      <w:r w:rsidR="00C916FE" w:rsidRPr="00C916FE">
        <w:rPr>
          <w:color w:val="000000"/>
          <w:lang w:eastAsia="zh-CN"/>
        </w:rPr>
        <w:t>.</w:t>
      </w:r>
      <w:r w:rsidR="00C916FE" w:rsidRPr="00C916FE">
        <w:rPr>
          <w:color w:val="000000"/>
          <w:lang w:eastAsia="zh-CN"/>
        </w:rPr>
        <w:t xml:space="preserve"> </w:t>
      </w:r>
      <w:r w:rsidR="00C916FE" w:rsidRPr="00C916FE">
        <w:rPr>
          <w:color w:val="000000"/>
          <w:lang w:eastAsia="zh-CN"/>
        </w:rPr>
        <w:t xml:space="preserve">They also assume deterministic data, overlooking real-world variability </w:t>
      </w:r>
      <w:r w:rsidR="00C916FE" w:rsidRPr="00C916FE">
        <w:rPr>
          <w:shd w:val="clear" w:color="auto" w:fill="FFFFFF"/>
        </w:rPr>
        <w:fldChar w:fldCharType="begin"/>
      </w:r>
      <w:r w:rsidR="00C916FE" w:rsidRPr="00C916FE">
        <w:rPr>
          <w:shd w:val="clear" w:color="auto" w:fill="FFFFFF"/>
        </w:rPr>
        <w:instrText xml:space="preserve"> ADDIN ZOTERO_ITEM CSL_CITATION {"citationID":"7wZ6Iz9i","properties":{"formattedCitation":"(Jin et al., 2024)","plainCitation":"(Jin et al., 2024)","noteIndex":0},"citationItems":[{"id":321,"uris":["http://zotero.org/users/local/wH06Ygim/items/9I4892DW"],"itemData":{"id":321,"type":"article-journal","container-title":"International Journal of Environmental Research","DOI":"10.1007/s41742-024-00584-8","ISSN":"1735-6865, 2008-2304","issue":"2","journalAbbreviation":"Int J Environ Res","language":"en","page":"33","source":"DOI.org (Crossref)","title":"Taxing for a Green Future: How China’s Environmental Protection Tax Law Drives Energy Efficiency","title-short":"Taxing for a Green Future","volume":"18","author":[{"family":"Jin","given":"Xi"},{"family":"Wang","given":"Lizheng"},{"family":"Xie","given":"Qiwei"},{"family":"Li","given":"Yongjun"},{"family":"Liang","given":"Liang"}],"issued":{"date-parts":[["2024",4]]}}}],"schema":"https://github.com/citation-style-language/schema/raw/master/csl-citation.json"} </w:instrText>
      </w:r>
      <w:r w:rsidR="00C916FE" w:rsidRPr="00C916FE">
        <w:rPr>
          <w:shd w:val="clear" w:color="auto" w:fill="FFFFFF"/>
        </w:rPr>
        <w:fldChar w:fldCharType="separate"/>
      </w:r>
      <w:r w:rsidR="00C916FE" w:rsidRPr="00C916FE">
        <w:t>(Jin et al., 2024)</w:t>
      </w:r>
      <w:r w:rsidR="00C916FE" w:rsidRPr="00C916FE">
        <w:rPr>
          <w:shd w:val="clear" w:color="auto" w:fill="FFFFFF"/>
        </w:rPr>
        <w:fldChar w:fldCharType="end"/>
      </w:r>
      <w:r w:rsidR="00C916FE" w:rsidRPr="00C916FE">
        <w:rPr>
          <w:color w:val="000000"/>
          <w:lang w:eastAsia="zh-CN"/>
        </w:rPr>
        <w:t xml:space="preserve">. To address these issues, </w:t>
      </w:r>
      <w:r w:rsidR="00C916FE" w:rsidRPr="00C916FE">
        <w:rPr>
          <w:shd w:val="clear" w:color="auto" w:fill="FFFFFF"/>
        </w:rPr>
        <w:fldChar w:fldCharType="begin"/>
      </w:r>
      <w:r w:rsidR="00C916FE" w:rsidRPr="00C916FE">
        <w:rPr>
          <w:shd w:val="clear" w:color="auto" w:fill="FFFFFF"/>
        </w:rPr>
        <w:instrText xml:space="preserve"> ADDIN ZOTERO_ITEM CSL_CITATION {"citationID":"XCbUW7pz","properties":{"formattedCitation":"(Tone, 2001)","plainCitation":"(Tone, 2001)","noteIndex":0},"citationItems":[{"id":458,"uris":["http://zotero.org/users/local/wH06Ygim/items/LMMDYWDI"],"itemData":{"id":458,"type":"article-journal","container-title":"European Journal of Operational Research","DOI":"10.1016/S0377-2217(99)00407-5","ISSN":"03772217","issue":"3","journalAbbreviation":"European Journal of Operational Research","language":"en","license":"https://www.elsevier.com/tdm/userlicense/1.0/","page":"498-509","source":"DOI.org (Crossref)","title":"A slacks-based measure of efficiency in data envelopment analysis","volume":"130","author":[{"family":"Tone","given":"Kaoru"}],"issued":{"date-parts":[["2001",5]]}}}],"schema":"https://github.com/citation-style-language/schema/raw/master/csl-citation.json"} </w:instrText>
      </w:r>
      <w:r w:rsidR="00C916FE" w:rsidRPr="00C916FE">
        <w:rPr>
          <w:shd w:val="clear" w:color="auto" w:fill="FFFFFF"/>
        </w:rPr>
        <w:fldChar w:fldCharType="separate"/>
      </w:r>
      <w:r w:rsidR="00C916FE" w:rsidRPr="00C916FE">
        <w:t>(Tone, 2001)</w:t>
      </w:r>
      <w:r w:rsidR="00C916FE" w:rsidRPr="00C916FE">
        <w:rPr>
          <w:shd w:val="clear" w:color="auto" w:fill="FFFFFF"/>
        </w:rPr>
        <w:fldChar w:fldCharType="end"/>
      </w:r>
      <w:r w:rsidR="00C916FE" w:rsidRPr="00C916FE">
        <w:rPr>
          <w:color w:val="000000"/>
          <w:lang w:eastAsia="zh-CN"/>
        </w:rPr>
        <w:t xml:space="preserve"> developed the Slack-Based Measure (SBM) DEA model, a non-radial approach that accounts for slacks, providing a more accurate efficiency measure.</w:t>
      </w:r>
      <w:r w:rsidR="00C916FE" w:rsidRPr="00C916FE">
        <w:rPr>
          <w:color w:val="000000"/>
          <w:lang w:eastAsia="zh-CN"/>
        </w:rPr>
        <w:t xml:space="preserve"> </w:t>
      </w:r>
      <w:r w:rsidR="00C916FE" w:rsidRPr="00C916FE">
        <w:rPr>
          <w:color w:val="000000"/>
          <w:lang w:eastAsia="zh-CN"/>
        </w:rPr>
        <w:t xml:space="preserve">The SBM model was adapted to handle undesirable outputs like CO2, making it suitable for evaluating Total Factor Power Generation Efficiency (TFPGE) under China’s Carbon Emissions Trading Scheme (CETS) </w:t>
      </w:r>
      <w:r w:rsidR="00C916FE" w:rsidRPr="00C916FE">
        <w:rPr>
          <w:shd w:val="clear" w:color="auto" w:fill="FFFFFF"/>
        </w:rPr>
        <w:fldChar w:fldCharType="begin"/>
      </w:r>
      <w:r w:rsidR="00C916FE" w:rsidRPr="00C916FE">
        <w:rPr>
          <w:shd w:val="clear" w:color="auto" w:fill="FFFFFF"/>
        </w:rPr>
        <w:instrText xml:space="preserve"> ADDIN ZOTERO_ITEM CSL_CITATION {"citationID":"NRSBm5ka","properties":{"formattedCitation":"(J. Du et al., 2010; Tone, 2002)","plainCitation":"(J. Du et al., 2010; Tone, 2002)","noteIndex":0},"citationItems":[{"id":588,"uris":["http://zotero.org/users/local/wH06Ygim/items/KB6SECH3"],"itemData":{"id":588,"type":"article-journal","container-title":"European Journal of Operational Research","DOI":"10.1016/S0377-2217(01)00324-1","ISSN":"03772217","issue":"1","journalAbbreviation":"European Journal of Operational Research","language":"en","license":"https://www.elsevier.com/tdm/userlicense/1.0/","page":"32-41","source":"DOI.org (Crossref)","title":"A slacks-based measure of super-efficiency in data envelopment analysis","volume":"143","author":[{"family":"Tone","given":"Kaoru"}],"issued":{"date-parts":[["2002",11]]}}},{"id":587,"uris":["http://zotero.org/users/local/wH06Ygim/items/BVCU4L7X"],"itemData":{"id":587,"type":"article-journal","container-title":"European Journal of Operational Research","DOI":"10.1016/j.ejor.2009.12.007","ISSN":"03772217","issue":"3","journalAbbreviation":"European Journal of Operational Research","language":"en","license":"https://www.elsevier.com/tdm/userlicense/1.0/","page":"694-697","source":"DOI.org (Crossref)","title":"A slacks-based measure of super-efficiency in data envelopment analysis: A comment","title-short":"A slacks-based measure of super-efficiency in data envelopment analysis","volume":"204","author":[{"family":"Du","given":"Juan"},{"family":"Liang","given":"Liang"},{"family":"Zhu","given":"Joe"}],"issued":{"date-parts":[["2010",8]]}}}],"schema":"https://github.com/citation-style-language/schema/raw/master/csl-citation.json"} </w:instrText>
      </w:r>
      <w:r w:rsidR="00C916FE" w:rsidRPr="00C916FE">
        <w:rPr>
          <w:shd w:val="clear" w:color="auto" w:fill="FFFFFF"/>
        </w:rPr>
        <w:fldChar w:fldCharType="separate"/>
      </w:r>
      <w:r w:rsidR="00C916FE" w:rsidRPr="00C916FE">
        <w:t>(J. Du et al., 2010; Tone, 2002)</w:t>
      </w:r>
      <w:r w:rsidR="00C916FE" w:rsidRPr="00C916FE">
        <w:rPr>
          <w:shd w:val="clear" w:color="auto" w:fill="FFFFFF"/>
        </w:rPr>
        <w:fldChar w:fldCharType="end"/>
      </w:r>
      <w:r w:rsidR="00C916FE" w:rsidRPr="00C916FE">
        <w:rPr>
          <w:color w:val="000000"/>
          <w:lang w:eastAsia="zh-CN"/>
        </w:rPr>
        <w:t>.</w:t>
      </w:r>
      <w:r w:rsidR="00C916FE" w:rsidRPr="00C916FE">
        <w:rPr>
          <w:color w:val="000000"/>
          <w:lang w:eastAsia="zh-CN"/>
        </w:rPr>
        <w:t xml:space="preserve"> </w:t>
      </w:r>
      <w:r w:rsidR="00C916FE" w:rsidRPr="00C916FE">
        <w:rPr>
          <w:color w:val="000000"/>
          <w:lang w:eastAsia="zh-CN"/>
        </w:rPr>
        <w:t xml:space="preserve">However, it still faces challenges in distinguishing efficient DMUs, leading to the super-efficiency SBM-DEA model, which removes efficient DMUs from the frontier, allowing scores above 1 for finer comparisons among high-performing coal plants </w:t>
      </w:r>
      <w:r w:rsidR="00C916FE" w:rsidRPr="00C916FE">
        <w:fldChar w:fldCharType="begin"/>
      </w:r>
      <w:r w:rsidR="00C916FE" w:rsidRPr="00C916FE">
        <w:instrText xml:space="preserve"> ADDIN ZOTERO_ITEM CSL_CITATION {"citationID":"pK134al4","properties":{"formattedCitation":"(Fang et al., 2022; Tone, 2002)","plainCitation":"(Fang et al., 2022; Tone, 2002)","noteIndex":0},"citationItems":[{"id":722,"uris":["http://zotero.org/users/local/wH06Ygim/items/NK7LQCWR"],"itemData":{"id":722,"type":"article-journal","container-title":"Energy Policy","DOI":"10.1016/j.enpol.2022.112955","ISSN":"03014215","journalAbbreviation":"Energy Policy","language":"en","page":"112955","source":"DOI.org (Crossref)","title":"Carbon emission efficiency of thermal power generation in China: Empirical evidence from the micro-perspective of power plants","title-short":"Carbon emission efficiency of thermal power generation in China","volume":"165","author":[{"family":"Fang","given":"Tao"},{"family":"Fang","given":"Debin"},{"family":"Yu","given":"Bolin"}],"issued":{"date-parts":[["2022",6]]}}},{"id":588,"uris":["http://zotero.org/users/local/wH06Ygim/items/KB6SECH3"],"itemData":{"id":588,"type":"article-journal","container-title":"European Journal of Operational Research","DOI":"10.1016/S0377-2217(01)00324-1","ISSN":"03772217","issue":"1","journalAbbreviation":"European Journal of Operational Research","language":"en","license":"https://www.elsevier.com/tdm/userlicense/1.0/","page":"32-41","source":"DOI.org (Crossref)","title":"A slacks-based measure of super-efficiency in data envelopment analysis","volume":"143","author":[{"family":"Tone","given":"Kaoru"}],"issued":{"date-parts":[["2002",11]]}}}],"schema":"https://github.com/citation-style-language/schema/raw/master/csl-citation.json"} </w:instrText>
      </w:r>
      <w:r w:rsidR="00C916FE" w:rsidRPr="00C916FE">
        <w:fldChar w:fldCharType="separate"/>
      </w:r>
      <w:r w:rsidR="00C916FE" w:rsidRPr="00C916FE">
        <w:t>(Fang et al., 2022; Tone, 2002)</w:t>
      </w:r>
      <w:r w:rsidR="00C916FE" w:rsidRPr="00C916FE">
        <w:fldChar w:fldCharType="end"/>
      </w:r>
      <w:r w:rsidR="00C916FE" w:rsidRPr="00C916FE">
        <w:rPr>
          <w:color w:val="000000"/>
          <w:lang w:eastAsia="zh-CN"/>
        </w:rPr>
        <w:t>.</w:t>
      </w:r>
      <w:r w:rsidR="00C916FE" w:rsidRPr="00C916FE">
        <w:rPr>
          <w:color w:val="000000"/>
          <w:lang w:eastAsia="zh-CN"/>
        </w:rPr>
        <w:t xml:space="preserve"> </w:t>
      </w:r>
      <w:r w:rsidR="00C916FE" w:rsidRPr="00C916FE">
        <w:rPr>
          <w:color w:val="000000"/>
          <w:lang w:eastAsia="zh-CN"/>
        </w:rPr>
        <w:t xml:space="preserve">Studies applying SBM-DEA include </w:t>
      </w:r>
      <w:r w:rsidR="00C916FE" w:rsidRPr="00C916FE">
        <w:rPr>
          <w:shd w:val="clear" w:color="auto" w:fill="FFFFFF"/>
        </w:rPr>
        <w:fldChar w:fldCharType="begin"/>
      </w:r>
      <w:r w:rsidR="00C916FE" w:rsidRPr="00C916FE">
        <w:rPr>
          <w:shd w:val="clear" w:color="auto" w:fill="FFFFFF"/>
        </w:rPr>
        <w:instrText xml:space="preserve"> ADDIN ZOTERO_ITEM CSL_CITATION {"citationID":"ZTkDj3Yo","properties":{"formattedCitation":"(J. Wang &amp; Wang, 2023)","plainCitation":"(J. Wang &amp; Wang, 2023)","noteIndex":0},"citationItems":[{"id":767,"uris":["http://zotero.org/users/local/wH06Ygim/items/7CVNJQWN"],"itemData":{"id":767,"type":"article-journal","container-title":"Energy Policy","DOI":"10.1016/j.enpol.2023.113722","ISSN":"03014215","journalAbbreviation":"Energy Policy","language":"en","page":"113722","source":"DOI.org (Crossref)","title":"The effect of electricity market reform on energy efficiency in China","volume":"181","author":[{"family":"Wang","given":"Jiexin"},{"family":"Wang","given":"Song"}],"issued":{"date-parts":[["2023",10]]}}}],"schema":"https://github.com/citation-style-language/schema/raw/master/csl-citation.json"} </w:instrText>
      </w:r>
      <w:r w:rsidR="00C916FE" w:rsidRPr="00C916FE">
        <w:rPr>
          <w:shd w:val="clear" w:color="auto" w:fill="FFFFFF"/>
        </w:rPr>
        <w:fldChar w:fldCharType="separate"/>
      </w:r>
      <w:r w:rsidR="00C916FE" w:rsidRPr="00C916FE">
        <w:t>(J. Wang &amp; Wang, 2023)</w:t>
      </w:r>
      <w:r w:rsidR="00C916FE" w:rsidRPr="00C916FE">
        <w:rPr>
          <w:shd w:val="clear" w:color="auto" w:fill="FFFFFF"/>
        </w:rPr>
        <w:fldChar w:fldCharType="end"/>
      </w:r>
      <w:r w:rsidR="00C916FE" w:rsidRPr="00C916FE">
        <w:rPr>
          <w:color w:val="000000"/>
          <w:lang w:eastAsia="zh-CN"/>
        </w:rPr>
        <w:t xml:space="preserve">, who analyzed electricity market reforms across 30 Chinese provinces (2010–2019), </w:t>
      </w:r>
      <w:r w:rsidR="00C916FE" w:rsidRPr="00C916FE">
        <w:rPr>
          <w:rFonts w:eastAsia="STIX-Regular"/>
          <w14:ligatures w14:val="standardContextual"/>
        </w:rPr>
        <w:fldChar w:fldCharType="begin"/>
      </w:r>
      <w:r w:rsidR="00C916FE" w:rsidRPr="00C916FE">
        <w:rPr>
          <w:rFonts w:eastAsia="STIX-Regular"/>
          <w14:ligatures w14:val="standardContextual"/>
        </w:rPr>
        <w:instrText xml:space="preserve"> ADDIN ZOTERO_ITEM CSL_CITATION {"citationID":"SVutz2QP","properties":{"formattedCitation":"(Nakaishi et al., 2021)","plainCitation":"(Nakaishi et al., 2021)","noteIndex":0},"citationItems":[{"id":719,"uris":["http://zotero.org/users/local/wH06Ygim/items/FPNPGIHN"],"itemData":{"id":719,"type":"article-journal","container-title":"Energy Economics","DOI":"10.1016/j.eneco.2021.105511","ISSN":"01409883","journalAbbreviation":"Energy Economics","language":"en","page":"105511","source":"DOI.org (Crossref)","title":"Environmental efficiency analysis of China's coal-fired power plants considering heterogeneity in power generation company groups","volume":"102","author":[{"family":"Nakaishi","given":"Tomoaki"},{"family":"Takayabu","given":"Hirotaka"},{"family":"Eguchi","given":"Shogo"}],"issued":{"date-parts":[["2021",10]]}}}],"schema":"https://github.com/citation-style-language/schema/raw/master/csl-citation.json"} </w:instrText>
      </w:r>
      <w:r w:rsidR="00C916FE" w:rsidRPr="00C916FE">
        <w:rPr>
          <w:rFonts w:eastAsia="STIX-Regular"/>
          <w14:ligatures w14:val="standardContextual"/>
        </w:rPr>
        <w:fldChar w:fldCharType="separate"/>
      </w:r>
      <w:r w:rsidR="00C916FE" w:rsidRPr="00C916FE">
        <w:rPr>
          <w:rFonts w:eastAsia="STIX-Regular"/>
        </w:rPr>
        <w:t>(</w:t>
      </w:r>
      <w:proofErr w:type="spellStart"/>
      <w:r w:rsidR="00C916FE" w:rsidRPr="00C916FE">
        <w:rPr>
          <w:rFonts w:eastAsia="STIX-Regular"/>
        </w:rPr>
        <w:t>Nakaishi</w:t>
      </w:r>
      <w:proofErr w:type="spellEnd"/>
      <w:r w:rsidR="00C916FE" w:rsidRPr="00C916FE">
        <w:rPr>
          <w:rFonts w:eastAsia="STIX-Regular"/>
        </w:rPr>
        <w:t xml:space="preserve"> et al., 2021)</w:t>
      </w:r>
      <w:r w:rsidR="00C916FE" w:rsidRPr="00C916FE">
        <w:rPr>
          <w:rFonts w:eastAsia="STIX-Regular"/>
          <w14:ligatures w14:val="standardContextual"/>
        </w:rPr>
        <w:fldChar w:fldCharType="end"/>
      </w:r>
      <w:r w:rsidR="00C916FE" w:rsidRPr="00C916FE">
        <w:rPr>
          <w:color w:val="000000"/>
          <w:lang w:eastAsia="zh-CN"/>
        </w:rPr>
        <w:t xml:space="preserve">, who assessed 104 coal plants, and </w:t>
      </w:r>
      <w:r w:rsidR="00C916FE" w:rsidRPr="00C916FE">
        <w:fldChar w:fldCharType="begin"/>
      </w:r>
      <w:r w:rsidR="00C916FE" w:rsidRPr="00C916FE">
        <w:instrText xml:space="preserve"> ADDIN ZOTERO_ITEM CSL_CITATION {"citationID":"LYFUI6EI","properties":{"formattedCitation":"(Shu et al., 2024)","plainCitation":"(Shu et al., 2024)","noteIndex":0},"citationItems":[{"id":812,"uris":["http://zotero.org/users/local/wH06Ygim/items/6C7QNLHZ"],"itemData":{"id":812,"type":"article-journal","container-title":"Applied Energy","DOI":"10.1016/j.apenergy.2024.124254","ISSN":"03062619","journalAbbreviation":"Applied Energy","language":"en","page":"124254","source":"DOI.org (Crossref)","title":"Towards sustainability: Evaluating energy efficiency with a super-efficiency SBM-DEA model across 168 economies","title-short":"Towards sustainability","volume":"376","author":[{"family":"Shu","given":"Tianheng"},{"family":"Liao","given":"Xia"},{"family":"Yang","given":"Shuo"},{"family":"Yu","given":"Taofang"}],"issued":{"date-parts":[["2024",12]]}}}],"schema":"https://github.com/citation-style-language/schema/raw/master/csl-citation.json"} </w:instrText>
      </w:r>
      <w:r w:rsidR="00C916FE" w:rsidRPr="00C916FE">
        <w:fldChar w:fldCharType="separate"/>
      </w:r>
      <w:r w:rsidR="00C916FE" w:rsidRPr="00C916FE">
        <w:t>(Shu et al., 2024)</w:t>
      </w:r>
      <w:r w:rsidR="00C916FE" w:rsidRPr="00C916FE">
        <w:fldChar w:fldCharType="end"/>
      </w:r>
      <w:r w:rsidR="00C916FE" w:rsidRPr="00C916FE">
        <w:rPr>
          <w:color w:val="000000"/>
          <w:lang w:eastAsia="zh-CN"/>
        </w:rPr>
        <w:t>, who evaluated global energy efficiency across 168 economies (2000–2017).</w:t>
      </w:r>
    </w:p>
    <w:p w14:paraId="6C07F86E" w14:textId="1FF15E12" w:rsidR="00C916FE" w:rsidRPr="00C916FE" w:rsidRDefault="00C916FE" w:rsidP="00C916FE">
      <w:pPr>
        <w:spacing w:line="240" w:lineRule="auto"/>
        <w:rPr>
          <w:rFonts w:ascii="Arial" w:hAnsi="Arial" w:cs="Arial"/>
          <w:color w:val="000000"/>
          <w:lang w:eastAsia="zh-CN"/>
        </w:rPr>
      </w:pPr>
    </w:p>
    <w:p w14:paraId="35B74AF5" w14:textId="5D9CDCE6" w:rsidR="00C916FE" w:rsidRPr="00C916FE" w:rsidRDefault="00C916FE" w:rsidP="00C916FE">
      <w:pPr>
        <w:spacing w:line="240" w:lineRule="auto"/>
        <w:rPr>
          <w:rFonts w:ascii="Arial" w:hAnsi="Arial" w:cs="Arial"/>
          <w:color w:val="000000"/>
          <w:lang w:eastAsia="zh-CN"/>
        </w:rPr>
      </w:pPr>
    </w:p>
    <w:p w14:paraId="440B3BCD" w14:textId="6CF7421B" w:rsidR="008061A3" w:rsidRPr="00046F57" w:rsidRDefault="008061A3" w:rsidP="008061A3">
      <w:pPr>
        <w:pStyle w:val="Newparagraph"/>
        <w:jc w:val="both"/>
      </w:pPr>
      <w:r w:rsidRPr="00046F57">
        <w:rPr>
          <w:shd w:val="clear" w:color="auto" w:fill="FFFFFF"/>
        </w:rPr>
        <w:lastRenderedPageBreak/>
        <w:t xml:space="preserve">Recognizing the key role of environmental pollution in evaluating power generation efficiency, we adopt the static super-efficiency SBM-DEA model, which accounts for undesirable outputs, to measure TFPGE of China’s regional coal-fired power sector from 2008 to 2019, aligning with prior coal sector studies. This approach supports our study’s objectives by measuring TFPGE’s response to CETS-driven innovations (e.g., ultra-supercritical combustion systems via CCTI) and environmental </w:t>
      </w:r>
      <w:r w:rsidR="00C916FE">
        <w:rPr>
          <w:shd w:val="clear" w:color="auto" w:fill="FFFFFF"/>
        </w:rPr>
        <w:t>resource commitment</w:t>
      </w:r>
      <w:r w:rsidRPr="00046F57">
        <w:rPr>
          <w:shd w:val="clear" w:color="auto" w:fill="FFFFFF"/>
        </w:rPr>
        <w:t xml:space="preserve"> (e.g., ERC), while capturing regional variations in energy structure upgrading. For policymakers, super-efficiency SBM-DEA reveals how coal plants can produce power efficiently while reducing emissions, informing CETS optimization.</w:t>
      </w:r>
      <w:r w:rsidRPr="00046F57">
        <w:t xml:space="preserve"> </w:t>
      </w:r>
      <w:r w:rsidRPr="00046F57">
        <w:rPr>
          <w:shd w:val="clear" w:color="auto" w:fill="FFFFFF"/>
        </w:rPr>
        <w:t>To assess TF</w:t>
      </w:r>
      <w:r w:rsidRPr="00046F57">
        <w:t xml:space="preserve">PGE, the </w:t>
      </w:r>
      <w:r w:rsidRPr="00046F57">
        <w:rPr>
          <w:shd w:val="clear" w:color="auto" w:fill="FFFFFF"/>
        </w:rPr>
        <w:t xml:space="preserve">DEA model can be described as follows. Each province and city is treated as </w:t>
      </w:r>
      <m:oMath>
        <m:sSub>
          <m:sSubPr>
            <m:ctrlPr>
              <w:rPr>
                <w:rFonts w:ascii="Cambria Math" w:hAnsi="Cambria Math"/>
                <w:i/>
              </w:rPr>
            </m:ctrlPr>
          </m:sSubPr>
          <m:e>
            <m:r>
              <w:rPr>
                <w:rFonts w:ascii="Cambria Math" w:hAnsi="Cambria Math"/>
              </w:rPr>
              <m:t>DMU</m:t>
            </m:r>
          </m:e>
          <m:sub>
            <m:r>
              <w:rPr>
                <w:rFonts w:ascii="Cambria Math" w:hAnsi="Cambria Math"/>
              </w:rPr>
              <m:t>j</m:t>
            </m:r>
          </m:sub>
        </m:sSub>
        <m:r>
          <w:rPr>
            <w:rFonts w:ascii="Cambria Math" w:hAnsi="Cambria Math"/>
          </w:rPr>
          <m:t>(j=1, 2,…,n)</m:t>
        </m:r>
      </m:oMath>
      <w:r w:rsidRPr="00046F57">
        <w:t xml:space="preserve"> with </w:t>
      </w:r>
      <m:oMath>
        <m:r>
          <w:rPr>
            <w:rFonts w:ascii="Cambria Math" w:hAnsi="Cambria Math"/>
          </w:rPr>
          <m:t>m</m:t>
        </m:r>
      </m:oMath>
      <w:r w:rsidRPr="00046F57">
        <w:t xml:space="preserve"> input elements </w:t>
      </w:r>
      <m:oMath>
        <m:sSub>
          <m:sSubPr>
            <m:ctrlPr>
              <w:rPr>
                <w:rFonts w:ascii="Cambria Math" w:hAnsi="Cambria Math"/>
                <w:i/>
              </w:rPr>
            </m:ctrlPr>
          </m:sSubPr>
          <m:e>
            <m:r>
              <w:rPr>
                <w:rFonts w:ascii="Cambria Math" w:hAnsi="Cambria Math"/>
              </w:rPr>
              <m:t>x</m:t>
            </m:r>
          </m:e>
          <m:sub>
            <m:r>
              <w:rPr>
                <w:rFonts w:ascii="Cambria Math" w:hAnsi="Cambria Math"/>
              </w:rPr>
              <m:t>ij</m:t>
            </m:r>
          </m:sub>
        </m:sSub>
        <m:r>
          <w:rPr>
            <w:rFonts w:ascii="Cambria Math" w:hAnsi="Cambria Math"/>
          </w:rPr>
          <m:t>(i=1,2,…,m)</m:t>
        </m:r>
      </m:oMath>
      <w:r w:rsidRPr="00046F57">
        <w:t xml:space="preserve">, </w:t>
      </w:r>
      <m:oMath>
        <m:sSub>
          <m:sSubPr>
            <m:ctrlPr>
              <w:rPr>
                <w:rFonts w:ascii="Cambria Math" w:hAnsi="Cambria Math"/>
                <w:i/>
              </w:rPr>
            </m:ctrlPr>
          </m:sSubPr>
          <m:e>
            <m:r>
              <w:rPr>
                <w:rFonts w:ascii="Cambria Math" w:hAnsi="Cambria Math"/>
              </w:rPr>
              <m:t>s</m:t>
            </m:r>
          </m:e>
          <m:sub>
            <m:r>
              <w:rPr>
                <w:rFonts w:ascii="Cambria Math" w:hAnsi="Cambria Math"/>
              </w:rPr>
              <m:t>1</m:t>
            </m:r>
          </m:sub>
        </m:sSub>
      </m:oMath>
      <w:r w:rsidRPr="00046F57">
        <w:t xml:space="preserve"> desirable output element </w:t>
      </w:r>
      <m:oMath>
        <m:sSub>
          <m:sSubPr>
            <m:ctrlPr>
              <w:rPr>
                <w:rFonts w:ascii="Cambria Math" w:hAnsi="Cambria Math"/>
                <w:i/>
              </w:rPr>
            </m:ctrlPr>
          </m:sSubPr>
          <m:e>
            <m:r>
              <w:rPr>
                <w:rFonts w:ascii="Cambria Math" w:hAnsi="Cambria Math"/>
              </w:rPr>
              <m:t>y</m:t>
            </m:r>
          </m:e>
          <m:sub>
            <m:r>
              <w:rPr>
                <w:rFonts w:ascii="Cambria Math" w:hAnsi="Cambria Math"/>
              </w:rPr>
              <m:t>rj</m:t>
            </m:r>
          </m:sub>
        </m:sSub>
        <m:r>
          <w:rPr>
            <w:rFonts w:ascii="Cambria Math" w:hAnsi="Cambria Math"/>
          </w:rPr>
          <m:t>(r=1,2,…,</m:t>
        </m:r>
      </m:oMath>
      <w:r w:rsidRPr="00046F57">
        <w:rPr>
          <w:shd w:val="clear" w:color="auto" w:fill="FFFFFF"/>
        </w:rPr>
        <w:t xml:space="preserve"> </w:t>
      </w:r>
      <m:oMath>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oMath>
      <w:r w:rsidRPr="00046F57">
        <w:rPr>
          <w:shd w:val="clear" w:color="auto" w:fill="FFFFFF"/>
        </w:rPr>
        <w:t xml:space="preserve"> and </w:t>
      </w:r>
      <m:oMath>
        <m:sSub>
          <m:sSubPr>
            <m:ctrlPr>
              <w:rPr>
                <w:rFonts w:ascii="Cambria Math" w:hAnsi="Cambria Math"/>
                <w:i/>
              </w:rPr>
            </m:ctrlPr>
          </m:sSubPr>
          <m:e>
            <m:r>
              <w:rPr>
                <w:rFonts w:ascii="Cambria Math" w:hAnsi="Cambria Math"/>
              </w:rPr>
              <m:t>s</m:t>
            </m:r>
          </m:e>
          <m:sub>
            <m:r>
              <w:rPr>
                <w:rFonts w:ascii="Cambria Math" w:hAnsi="Cambria Math"/>
              </w:rPr>
              <m:t>2</m:t>
            </m:r>
          </m:sub>
        </m:sSub>
      </m:oMath>
      <w:r w:rsidRPr="00046F57">
        <w:t xml:space="preserve"> undesirable output element </w:t>
      </w:r>
      <m:oMath>
        <m:sSub>
          <m:sSubPr>
            <m:ctrlPr>
              <w:rPr>
                <w:rFonts w:ascii="Cambria Math" w:hAnsi="Cambria Math"/>
                <w:i/>
              </w:rPr>
            </m:ctrlPr>
          </m:sSubPr>
          <m:e>
            <m:r>
              <w:rPr>
                <w:rFonts w:ascii="Cambria Math" w:hAnsi="Cambria Math"/>
              </w:rPr>
              <m:t>z</m:t>
            </m:r>
          </m:e>
          <m:sub>
            <m:r>
              <w:rPr>
                <w:rFonts w:ascii="Cambria Math" w:hAnsi="Cambria Math"/>
              </w:rPr>
              <m:t>g</m:t>
            </m:r>
          </m:sub>
        </m:sSub>
        <m:r>
          <w:rPr>
            <w:rFonts w:ascii="Cambria Math" w:hAnsi="Cambria Math"/>
          </w:rPr>
          <m:t xml:space="preserve">(g=1,2,…, </m:t>
        </m:r>
        <m:sSub>
          <m:sSubPr>
            <m:ctrlPr>
              <w:rPr>
                <w:rFonts w:ascii="Cambria Math" w:hAnsi="Cambria Math"/>
                <w:i/>
              </w:rPr>
            </m:ctrlPr>
          </m:sSubPr>
          <m:e>
            <m:r>
              <w:rPr>
                <w:rFonts w:ascii="Cambria Math" w:hAnsi="Cambria Math"/>
              </w:rPr>
              <m:t>s</m:t>
            </m:r>
          </m:e>
          <m:sub>
            <m:r>
              <w:rPr>
                <w:rFonts w:ascii="Cambria Math" w:hAnsi="Cambria Math"/>
              </w:rPr>
              <m:t>2</m:t>
            </m:r>
          </m:sub>
        </m:sSub>
        <m:r>
          <w:rPr>
            <w:rFonts w:ascii="Cambria Math" w:hAnsi="Cambria Math"/>
          </w:rPr>
          <m:t>)</m:t>
        </m:r>
      </m:oMath>
      <w:r w:rsidRPr="00046F57">
        <w:t>.</w:t>
      </w:r>
      <w:r w:rsidRPr="00046F57">
        <w:rPr>
          <w:shd w:val="clear" w:color="auto" w:fill="FFFFFF"/>
        </w:rPr>
        <w:t xml:space="preserve"> This study adopts a technology production set with variable returns to scale and an input-output orientation</w:t>
      </w:r>
      <w:r w:rsidRPr="00046F57">
        <w:rPr>
          <w:rFonts w:eastAsia="STIX-Regular"/>
          <w14:ligatures w14:val="standardContextual"/>
        </w:rPr>
        <w:t>. Therefore,</w:t>
      </w:r>
      <w:r w:rsidRPr="00046F57">
        <w:t xml:space="preserve"> the production possibility set for all DMUs considering undesirable outputs, can be represented as: </w:t>
      </w:r>
    </w:p>
    <w:p w14:paraId="7E0203B5" w14:textId="77777777" w:rsidR="008061A3" w:rsidRPr="00046F57" w:rsidRDefault="008061A3" w:rsidP="008061A3">
      <w:pPr>
        <w:pStyle w:val="Displayedequation"/>
      </w:pPr>
      <m:oMath>
        <m:r>
          <w:rPr>
            <w:rFonts w:ascii="Cambria Math" w:hAnsi="Cambria Math"/>
          </w:rPr>
          <m:t>P={(x,y,z)|x≥Xλ,y≤Yλ,z≥Zλ,λ≥0</m:t>
        </m:r>
      </m:oMath>
      <w:r w:rsidRPr="00046F57">
        <w:t xml:space="preserve">                                                                 (1)</w:t>
      </w:r>
    </w:p>
    <w:p w14:paraId="2E552799" w14:textId="77777777" w:rsidR="008061A3" w:rsidRPr="00046F57" w:rsidRDefault="008061A3" w:rsidP="008061A3">
      <w:pPr>
        <w:pStyle w:val="Newparagraph"/>
        <w:jc w:val="both"/>
      </w:pPr>
      <w:r w:rsidRPr="00046F57">
        <w:rPr>
          <w:shd w:val="clear" w:color="auto" w:fill="FFFFFF"/>
        </w:rPr>
        <w:t xml:space="preserve">where </w:t>
      </w:r>
      <m:oMath>
        <m:r>
          <w:rPr>
            <w:rFonts w:ascii="Cambria Math" w:hAnsi="Cambria Math"/>
          </w:rPr>
          <m:t>λ</m:t>
        </m:r>
      </m:oMath>
      <w:r w:rsidRPr="00046F57">
        <w:rPr>
          <w:shd w:val="clear" w:color="auto" w:fill="FFFFFF"/>
        </w:rPr>
        <w:t xml:space="preserve">  represents a constant vector.  In the super-efficiency DEA model, the production set must exclude a particular DMU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0</m:t>
            </m:r>
          </m:sub>
        </m:sSub>
        <m:sSub>
          <m:sSubPr>
            <m:ctrlPr>
              <w:rPr>
                <w:rFonts w:ascii="Cambria Math" w:hAnsi="Cambria Math"/>
                <w:i/>
              </w:rPr>
            </m:ctrlPr>
          </m:sSubPr>
          <m:e>
            <m:r>
              <w:rPr>
                <w:rFonts w:ascii="Cambria Math" w:hAnsi="Cambria Math"/>
              </w:rPr>
              <m:t>y</m:t>
            </m:r>
          </m:e>
          <m:sub>
            <m:r>
              <w:rPr>
                <w:rFonts w:ascii="Cambria Math" w:hAnsi="Cambria Math"/>
              </w:rPr>
              <m:t>0</m:t>
            </m:r>
          </m:sub>
        </m:sSub>
        <m:sSub>
          <m:sSubPr>
            <m:ctrlPr>
              <w:rPr>
                <w:rFonts w:ascii="Cambria Math" w:hAnsi="Cambria Math"/>
                <w:i/>
              </w:rPr>
            </m:ctrlPr>
          </m:sSubPr>
          <m:e>
            <m:r>
              <w:rPr>
                <w:rFonts w:ascii="Cambria Math" w:hAnsi="Cambria Math"/>
              </w:rPr>
              <m:t>z</m:t>
            </m:r>
          </m:e>
          <m:sub>
            <m:r>
              <w:rPr>
                <w:rFonts w:ascii="Cambria Math" w:hAnsi="Cambria Math"/>
              </w:rPr>
              <m:t>0</m:t>
            </m:r>
          </m:sub>
        </m:sSub>
        <m:r>
          <w:rPr>
            <w:rFonts w:ascii="Cambria Math" w:hAnsi="Cambria Math"/>
          </w:rPr>
          <m:t>)</m:t>
        </m:r>
      </m:oMath>
      <w:r w:rsidRPr="00046F57">
        <w:rPr>
          <w:shd w:val="clear" w:color="auto" w:fill="FFFFFF"/>
        </w:rPr>
        <w:t xml:space="preserve">  to create an updated production set, defined as follows:</w:t>
      </w:r>
    </w:p>
    <w:p w14:paraId="13DCE157" w14:textId="77777777" w:rsidR="008061A3" w:rsidRPr="00046F57" w:rsidRDefault="00000000" w:rsidP="008061A3">
      <w:pPr>
        <w:pStyle w:val="Displayedequation"/>
      </w:pPr>
      <m:oMath>
        <m:sSup>
          <m:sSupPr>
            <m:ctrlPr>
              <w:rPr>
                <w:rFonts w:ascii="Cambria Math" w:hAnsi="Cambria Math"/>
              </w:rPr>
            </m:ctrlPr>
          </m:sSupPr>
          <m:e>
            <m:r>
              <w:rPr>
                <w:rFonts w:ascii="Cambria Math" w:hAnsi="Cambria Math"/>
              </w:rPr>
              <m:t>P</m:t>
            </m:r>
          </m:e>
          <m:sup>
            <m:r>
              <m:rPr>
                <m:sty m:val="p"/>
              </m:rPr>
              <w:rPr>
                <w:rFonts w:ascii="Cambria Math" w:hAnsi="Cambria Math"/>
              </w:rPr>
              <m:t>'</m:t>
            </m:r>
          </m:sup>
        </m:sSup>
        <m:r>
          <m:rPr>
            <m:sty m:val="p"/>
          </m:rPr>
          <w:rPr>
            <w:rFonts w:ascii="Cambria Math" w:hAnsi="Cambria Math"/>
          </w:rPr>
          <m:t>\ (</m:t>
        </m:r>
        <m:sSub>
          <m:sSubPr>
            <m:ctrlPr>
              <w:rPr>
                <w:rFonts w:ascii="Cambria Math" w:hAnsi="Cambria Math"/>
              </w:rPr>
            </m:ctrlPr>
          </m:sSubPr>
          <m:e>
            <m:r>
              <w:rPr>
                <w:rFonts w:ascii="Cambria Math" w:hAnsi="Cambria Math"/>
              </w:rPr>
              <m:t>x</m:t>
            </m:r>
          </m:e>
          <m:sub>
            <m:r>
              <m:rPr>
                <m:sty m:val="p"/>
              </m:rPr>
              <w:rPr>
                <w:rFonts w:ascii="Cambria Math" w:hAnsi="Cambria Math"/>
              </w:rPr>
              <m:t>0</m:t>
            </m:r>
          </m:sub>
        </m:sSub>
        <m:sSub>
          <m:sSubPr>
            <m:ctrlPr>
              <w:rPr>
                <w:rFonts w:ascii="Cambria Math" w:hAnsi="Cambria Math"/>
              </w:rPr>
            </m:ctrlPr>
          </m:sSubPr>
          <m:e>
            <m:r>
              <w:rPr>
                <w:rFonts w:ascii="Cambria Math" w:hAnsi="Cambria Math"/>
              </w:rPr>
              <m:t>y</m:t>
            </m:r>
          </m:e>
          <m:sub>
            <m:r>
              <m:rPr>
                <m:sty m:val="p"/>
              </m:rPr>
              <w:rPr>
                <w:rFonts w:ascii="Cambria Math" w:hAnsi="Cambria Math"/>
              </w:rPr>
              <m:t>0</m:t>
            </m:r>
          </m:sub>
        </m:sSub>
        <m:sSub>
          <m:sSubPr>
            <m:ctrlPr>
              <w:rPr>
                <w:rFonts w:ascii="Cambria Math" w:hAnsi="Cambria Math"/>
              </w:rPr>
            </m:ctrlPr>
          </m:sSubPr>
          <m:e>
            <m:r>
              <w:rPr>
                <w:rFonts w:ascii="Cambria Math" w:hAnsi="Cambria Math"/>
              </w:rPr>
              <m:t>z</m:t>
            </m:r>
          </m:e>
          <m:sub>
            <m:r>
              <m:rPr>
                <m:sty m:val="p"/>
              </m:rPr>
              <w:rPr>
                <w:rFonts w:ascii="Cambria Math" w:hAnsi="Cambria Math"/>
              </w:rPr>
              <m:t>0</m:t>
            </m:r>
          </m:sub>
        </m:sSub>
        <m:r>
          <m:rPr>
            <m:sty m:val="p"/>
          </m:rPr>
          <w:rPr>
            <w:rFonts w:ascii="Cambria Math" w:hAnsi="Cambria Math"/>
          </w:rPr>
          <m:t>)={(</m:t>
        </m:r>
        <m:acc>
          <m:accPr>
            <m:chr m:val="̅"/>
            <m:ctrlPr>
              <w:rPr>
                <w:rFonts w:ascii="Cambria Math" w:hAnsi="Cambria Math"/>
              </w:rPr>
            </m:ctrlPr>
          </m:accPr>
          <m:e>
            <m:r>
              <w:rPr>
                <w:rFonts w:ascii="Cambria Math" w:hAnsi="Cambria Math"/>
              </w:rPr>
              <m:t>x</m:t>
            </m:r>
          </m:e>
        </m:acc>
        <m:r>
          <m:rPr>
            <m:sty m:val="p"/>
          </m:rPr>
          <w:rPr>
            <w:rFonts w:ascii="Cambria Math" w:hAnsi="Cambria Math"/>
          </w:rPr>
          <m:t>,</m:t>
        </m:r>
        <m:acc>
          <m:accPr>
            <m:chr m:val="̅"/>
            <m:ctrlPr>
              <w:rPr>
                <w:rFonts w:ascii="Cambria Math" w:hAnsi="Cambria Math"/>
              </w:rPr>
            </m:ctrlPr>
          </m:accPr>
          <m:e>
            <m:r>
              <w:rPr>
                <w:rFonts w:ascii="Cambria Math" w:hAnsi="Cambria Math"/>
              </w:rPr>
              <m:t>y</m:t>
            </m:r>
            <m:r>
              <m:rPr>
                <m:sty m:val="p"/>
              </m:rPr>
              <w:rPr>
                <w:rFonts w:ascii="Cambria Math" w:hAnsi="Cambria Math"/>
              </w:rPr>
              <m:t>,</m:t>
            </m:r>
          </m:e>
        </m:acc>
        <m:acc>
          <m:accPr>
            <m:chr m:val="̅"/>
            <m:ctrlPr>
              <w:rPr>
                <w:rFonts w:ascii="Cambria Math" w:hAnsi="Cambria Math"/>
              </w:rPr>
            </m:ctrlPr>
          </m:accPr>
          <m:e>
            <m:r>
              <w:rPr>
                <w:rFonts w:ascii="Cambria Math" w:hAnsi="Cambria Math"/>
              </w:rPr>
              <m:t>z</m:t>
            </m:r>
          </m:e>
        </m:acc>
        <m:r>
          <m:rPr>
            <m:sty m:val="p"/>
          </m:rPr>
          <w:rPr>
            <w:rFonts w:ascii="Cambria Math" w:hAnsi="Cambria Math"/>
          </w:rPr>
          <m:t>)|</m:t>
        </m:r>
        <m:acc>
          <m:accPr>
            <m:chr m:val="̅"/>
            <m:ctrlPr>
              <w:rPr>
                <w:rFonts w:ascii="Cambria Math" w:hAnsi="Cambria Math"/>
              </w:rPr>
            </m:ctrlPr>
          </m:accPr>
          <m:e>
            <m:r>
              <w:rPr>
                <w:rFonts w:ascii="Cambria Math" w:hAnsi="Cambria Math"/>
              </w:rPr>
              <m:t>x</m:t>
            </m:r>
          </m:e>
        </m:acc>
        <m:r>
          <m:rPr>
            <m:sty m:val="p"/>
          </m:rPr>
          <w:rPr>
            <w:rFonts w:ascii="Cambria Math" w:hAnsi="Cambria Math"/>
          </w:rPr>
          <m:t>≥</m:t>
        </m:r>
        <m:r>
          <w:rPr>
            <w:rFonts w:ascii="Cambria Math" w:hAnsi="Cambria Math"/>
          </w:rPr>
          <m:t>Xλ</m:t>
        </m:r>
        <m:r>
          <m:rPr>
            <m:sty m:val="p"/>
          </m:rPr>
          <w:rPr>
            <w:rFonts w:ascii="Cambria Math" w:hAnsi="Cambria Math"/>
          </w:rPr>
          <m:t>,</m:t>
        </m:r>
        <m:acc>
          <m:accPr>
            <m:chr m:val="̅"/>
            <m:ctrlPr>
              <w:rPr>
                <w:rFonts w:ascii="Cambria Math" w:hAnsi="Cambria Math"/>
              </w:rPr>
            </m:ctrlPr>
          </m:accPr>
          <m:e>
            <m:r>
              <w:rPr>
                <w:rFonts w:ascii="Cambria Math" w:hAnsi="Cambria Math"/>
              </w:rPr>
              <m:t>y</m:t>
            </m:r>
          </m:e>
        </m:acc>
        <m:r>
          <m:rPr>
            <m:sty m:val="p"/>
          </m:rPr>
          <w:rPr>
            <w:rFonts w:ascii="Cambria Math" w:hAnsi="Cambria Math"/>
          </w:rPr>
          <m:t>≤</m:t>
        </m:r>
        <m:r>
          <w:rPr>
            <w:rFonts w:ascii="Cambria Math" w:hAnsi="Cambria Math"/>
          </w:rPr>
          <m:t>Yλ</m:t>
        </m:r>
        <m:r>
          <m:rPr>
            <m:sty m:val="p"/>
          </m:rPr>
          <w:rPr>
            <w:rFonts w:ascii="Cambria Math" w:hAnsi="Cambria Math"/>
          </w:rPr>
          <m:t>,</m:t>
        </m:r>
        <m:acc>
          <m:accPr>
            <m:chr m:val="̅"/>
            <m:ctrlPr>
              <w:rPr>
                <w:rFonts w:ascii="Cambria Math" w:hAnsi="Cambria Math"/>
              </w:rPr>
            </m:ctrlPr>
          </m:accPr>
          <m:e>
            <m:r>
              <w:rPr>
                <w:rFonts w:ascii="Cambria Math" w:hAnsi="Cambria Math"/>
              </w:rPr>
              <m:t>z</m:t>
            </m:r>
          </m:e>
        </m:acc>
        <m:r>
          <m:rPr>
            <m:sty m:val="p"/>
          </m:rPr>
          <w:rPr>
            <w:rFonts w:ascii="Cambria Math" w:hAnsi="Cambria Math"/>
          </w:rPr>
          <m:t>≥</m:t>
        </m:r>
        <m:r>
          <w:rPr>
            <w:rFonts w:ascii="Cambria Math" w:hAnsi="Cambria Math"/>
          </w:rPr>
          <m:t>Zλ</m:t>
        </m:r>
        <m:r>
          <m:rPr>
            <m:sty m:val="p"/>
          </m:rPr>
          <w:rPr>
            <w:rFonts w:ascii="Cambria Math" w:hAnsi="Cambria Math"/>
          </w:rPr>
          <m:t>,</m:t>
        </m:r>
        <m:r>
          <w:rPr>
            <w:rFonts w:ascii="Cambria Math" w:hAnsi="Cambria Math"/>
          </w:rPr>
          <m:t>λ</m:t>
        </m:r>
        <m:r>
          <m:rPr>
            <m:sty m:val="p"/>
          </m:rPr>
          <w:rPr>
            <w:rFonts w:ascii="Cambria Math" w:hAnsi="Cambria Math"/>
          </w:rPr>
          <m:t>≥0</m:t>
        </m:r>
      </m:oMath>
      <w:r w:rsidR="008061A3" w:rsidRPr="00046F57">
        <w:t xml:space="preserve">                                              (2)</w:t>
      </w:r>
    </w:p>
    <w:p w14:paraId="1BBD8865" w14:textId="77777777" w:rsidR="008061A3" w:rsidRPr="007828C5" w:rsidRDefault="008061A3" w:rsidP="008061A3">
      <w:pPr>
        <w:pStyle w:val="Newparagraph"/>
        <w:jc w:val="both"/>
        <w:rPr>
          <w:sz w:val="22"/>
          <w:szCs w:val="22"/>
        </w:rPr>
      </w:pPr>
      <w:r w:rsidRPr="00046F57">
        <w:t xml:space="preserve">The above production set shows that, under identical conditions, the inputs of any DMU are at least as large as the collective inputs of all the other DMUs, the desirable outputs do not exceed the collective desirable outputs of all other DMUs, and the undesirable outputs are at least </w:t>
      </w:r>
      <w:r w:rsidRPr="00046F57">
        <w:lastRenderedPageBreak/>
        <w:t xml:space="preserve">as large as the collective undesirable outputs of all other DMUs. </w:t>
      </w:r>
      <w:r w:rsidRPr="00046F57">
        <w:rPr>
          <w:shd w:val="clear" w:color="auto" w:fill="FFFFFF"/>
        </w:rPr>
        <w:t>Additionally, the computation of TFPGE can be expressed through the following mathematical programming model, specifically a super-efficiency SBM-DEA model:</w:t>
      </w:r>
    </w:p>
    <w:p w14:paraId="51265099" w14:textId="77777777" w:rsidR="008061A3" w:rsidRPr="007828C5" w:rsidRDefault="00000000" w:rsidP="007828C5">
      <w:pPr>
        <w:pStyle w:val="Displayedequation"/>
        <w:spacing w:before="120" w:after="120" w:line="240" w:lineRule="auto"/>
        <w:jc w:val="left"/>
        <w:rPr>
          <w:sz w:val="22"/>
          <w:szCs w:val="22"/>
        </w:rPr>
      </w:pPr>
      <m:oMathPara>
        <m:oMath>
          <m:func>
            <m:funcPr>
              <m:ctrlPr>
                <w:rPr>
                  <w:rFonts w:ascii="Cambria Math" w:hAnsi="Cambria Math"/>
                  <w:i/>
                  <w:sz w:val="22"/>
                  <w:szCs w:val="22"/>
                </w:rPr>
              </m:ctrlPr>
            </m:funcPr>
            <m:fName>
              <m:r>
                <m:rPr>
                  <m:sty m:val="p"/>
                </m:rPr>
                <w:rPr>
                  <w:rFonts w:ascii="Cambria Math" w:hAnsi="Cambria Math"/>
                  <w:sz w:val="22"/>
                  <w:szCs w:val="22"/>
                </w:rPr>
                <m:t>min</m:t>
              </m:r>
            </m:fName>
            <m:e>
              <m:r>
                <w:rPr>
                  <w:rFonts w:ascii="Cambria Math" w:hAnsi="Cambria Math"/>
                  <w:sz w:val="22"/>
                  <w:szCs w:val="22"/>
                </w:rPr>
                <m:t>TFPGE</m:t>
              </m:r>
            </m:e>
          </m:func>
          <m:r>
            <w:rPr>
              <w:rFonts w:ascii="Cambria Math" w:eastAsia="Cambria Math" w:hAnsi="Cambria Math"/>
              <w:sz w:val="22"/>
              <w:szCs w:val="22"/>
            </w:rPr>
            <m:t>=</m:t>
          </m:r>
          <m:f>
            <m:fPr>
              <m:ctrlPr>
                <w:rPr>
                  <w:rFonts w:ascii="Cambria Math" w:eastAsia="Cambria Math" w:hAnsi="Cambria Math"/>
                  <w:i/>
                  <w:sz w:val="22"/>
                  <w:szCs w:val="22"/>
                </w:rPr>
              </m:ctrlPr>
            </m:fPr>
            <m:num>
              <m:f>
                <m:fPr>
                  <m:type m:val="lin"/>
                  <m:ctrlPr>
                    <w:rPr>
                      <w:rFonts w:ascii="Cambria Math" w:eastAsia="Cambria Math" w:hAnsi="Cambria Math"/>
                      <w:i/>
                      <w:sz w:val="22"/>
                      <w:szCs w:val="22"/>
                    </w:rPr>
                  </m:ctrlPr>
                </m:fPr>
                <m:num>
                  <m:r>
                    <w:rPr>
                      <w:rFonts w:ascii="Cambria Math" w:eastAsia="Cambria Math" w:hAnsi="Cambria Math"/>
                      <w:sz w:val="22"/>
                      <w:szCs w:val="22"/>
                    </w:rPr>
                    <m:t>1-</m:t>
                  </m:r>
                  <m:f>
                    <m:fPr>
                      <m:ctrlPr>
                        <w:rPr>
                          <w:rFonts w:ascii="Cambria Math" w:eastAsia="Cambria Math" w:hAnsi="Cambria Math"/>
                          <w:i/>
                          <w:sz w:val="22"/>
                          <w:szCs w:val="22"/>
                        </w:rPr>
                      </m:ctrlPr>
                    </m:fPr>
                    <m:num>
                      <m:r>
                        <w:rPr>
                          <w:rFonts w:ascii="Cambria Math" w:eastAsia="Cambria Math" w:hAnsi="Cambria Math"/>
                          <w:sz w:val="22"/>
                          <w:szCs w:val="22"/>
                        </w:rPr>
                        <m:t>1</m:t>
                      </m:r>
                    </m:num>
                    <m:den>
                      <m:r>
                        <w:rPr>
                          <w:rFonts w:ascii="Cambria Math" w:eastAsia="Cambria Math" w:hAnsi="Cambria Math"/>
                          <w:sz w:val="22"/>
                          <w:szCs w:val="22"/>
                        </w:rPr>
                        <m:t>m</m:t>
                      </m:r>
                    </m:den>
                  </m:f>
                  <m:r>
                    <w:rPr>
                      <w:rFonts w:ascii="Cambria Math" w:eastAsia="Cambria Math" w:hAnsi="Cambria Math"/>
                      <w:sz w:val="22"/>
                      <w:szCs w:val="22"/>
                    </w:rPr>
                    <m:t xml:space="preserve"> </m:t>
                  </m:r>
                  <m:nary>
                    <m:naryPr>
                      <m:chr m:val="∑"/>
                      <m:limLoc m:val="subSup"/>
                      <m:ctrlPr>
                        <w:rPr>
                          <w:rFonts w:ascii="Cambria Math" w:hAnsi="Cambria Math"/>
                          <w:i/>
                          <w:sz w:val="22"/>
                          <w:szCs w:val="22"/>
                        </w:rPr>
                      </m:ctrlPr>
                    </m:naryPr>
                    <m:sub>
                      <m:r>
                        <w:rPr>
                          <w:rFonts w:ascii="Cambria Math" w:hAnsi="Cambria Math"/>
                          <w:sz w:val="22"/>
                          <w:szCs w:val="22"/>
                        </w:rPr>
                        <m:t>i=1</m:t>
                      </m:r>
                    </m:sub>
                    <m:sup>
                      <m:r>
                        <w:rPr>
                          <w:rFonts w:ascii="Cambria Math" w:hAnsi="Cambria Math"/>
                          <w:sz w:val="22"/>
                          <w:szCs w:val="22"/>
                        </w:rPr>
                        <m:t>m</m:t>
                      </m:r>
                    </m:sup>
                    <m:e>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i</m:t>
                          </m:r>
                        </m:sub>
                        <m:sup>
                          <m:r>
                            <w:rPr>
                              <w:rFonts w:ascii="Cambria Math" w:hAnsi="Cambria Math"/>
                              <w:sz w:val="22"/>
                              <w:szCs w:val="22"/>
                            </w:rPr>
                            <m:t>-</m:t>
                          </m:r>
                        </m:sup>
                      </m:sSubSup>
                    </m:e>
                  </m:nary>
                </m:num>
                <m:den>
                  <m:sSub>
                    <m:sSubPr>
                      <m:ctrlPr>
                        <w:rPr>
                          <w:rFonts w:ascii="Cambria Math" w:hAnsi="Cambria Math"/>
                          <w:i/>
                          <w:sz w:val="22"/>
                          <w:szCs w:val="22"/>
                        </w:rPr>
                      </m:ctrlPr>
                    </m:sSubPr>
                    <m:e>
                      <m:r>
                        <w:rPr>
                          <w:rFonts w:ascii="Cambria Math" w:hAnsi="Cambria Math"/>
                          <w:sz w:val="22"/>
                          <w:szCs w:val="22"/>
                        </w:rPr>
                        <m:t>x</m:t>
                      </m:r>
                    </m:e>
                    <m:sub>
                      <m:r>
                        <w:rPr>
                          <w:rFonts w:ascii="Cambria Math" w:hAnsi="Cambria Math"/>
                          <w:sz w:val="22"/>
                          <w:szCs w:val="22"/>
                        </w:rPr>
                        <m:t>ik</m:t>
                      </m:r>
                    </m:sub>
                  </m:sSub>
                </m:den>
              </m:f>
            </m:num>
            <m:den>
              <m:r>
                <w:rPr>
                  <w:rFonts w:ascii="Cambria Math" w:eastAsia="Cambria Math" w:hAnsi="Cambria Math"/>
                  <w:sz w:val="22"/>
                  <w:szCs w:val="22"/>
                </w:rPr>
                <m:t>1-</m:t>
              </m:r>
              <m:f>
                <m:fPr>
                  <m:ctrlPr>
                    <w:rPr>
                      <w:rFonts w:ascii="Cambria Math" w:eastAsia="Cambria Math" w:hAnsi="Cambria Math"/>
                      <w:i/>
                      <w:sz w:val="22"/>
                      <w:szCs w:val="22"/>
                    </w:rPr>
                  </m:ctrlPr>
                </m:fPr>
                <m:num>
                  <m:r>
                    <w:rPr>
                      <w:rFonts w:ascii="Cambria Math" w:eastAsia="Cambria Math" w:hAnsi="Cambria Math"/>
                      <w:sz w:val="22"/>
                      <w:szCs w:val="22"/>
                    </w:rPr>
                    <m:t>1</m:t>
                  </m:r>
                </m:num>
                <m:den>
                  <m:sSub>
                    <m:sSubPr>
                      <m:ctrlPr>
                        <w:rPr>
                          <w:rFonts w:ascii="Cambria Math" w:eastAsia="Cambria Math" w:hAnsi="Cambria Math"/>
                          <w:i/>
                          <w:sz w:val="22"/>
                          <w:szCs w:val="22"/>
                        </w:rPr>
                      </m:ctrlPr>
                    </m:sSubPr>
                    <m:e>
                      <m:r>
                        <w:rPr>
                          <w:rFonts w:ascii="Cambria Math" w:eastAsia="Cambria Math" w:hAnsi="Cambria Math"/>
                          <w:sz w:val="22"/>
                          <w:szCs w:val="22"/>
                        </w:rPr>
                        <m:t>s</m:t>
                      </m:r>
                    </m:e>
                    <m:sub>
                      <m:r>
                        <w:rPr>
                          <w:rFonts w:ascii="Cambria Math" w:eastAsia="Cambria Math" w:hAnsi="Cambria Math"/>
                          <w:sz w:val="22"/>
                          <w:szCs w:val="22"/>
                        </w:rPr>
                        <m:t>1</m:t>
                      </m:r>
                    </m:sub>
                  </m:sSub>
                  <m:r>
                    <w:rPr>
                      <w:rFonts w:ascii="Cambria Math" w:eastAsia="Cambria Math" w:hAnsi="Cambria Math"/>
                      <w:sz w:val="22"/>
                      <w:szCs w:val="22"/>
                    </w:rPr>
                    <m:t>+</m:t>
                  </m:r>
                  <m:sSub>
                    <m:sSubPr>
                      <m:ctrlPr>
                        <w:rPr>
                          <w:rFonts w:ascii="Cambria Math" w:eastAsia="Cambria Math" w:hAnsi="Cambria Math"/>
                          <w:i/>
                          <w:sz w:val="22"/>
                          <w:szCs w:val="22"/>
                        </w:rPr>
                      </m:ctrlPr>
                    </m:sSubPr>
                    <m:e>
                      <m:r>
                        <w:rPr>
                          <w:rFonts w:ascii="Cambria Math" w:eastAsia="Cambria Math" w:hAnsi="Cambria Math"/>
                          <w:sz w:val="22"/>
                          <w:szCs w:val="22"/>
                        </w:rPr>
                        <m:t>s</m:t>
                      </m:r>
                    </m:e>
                    <m:sub>
                      <m:r>
                        <w:rPr>
                          <w:rFonts w:ascii="Cambria Math" w:eastAsia="Cambria Math" w:hAnsi="Cambria Math"/>
                          <w:sz w:val="22"/>
                          <w:szCs w:val="22"/>
                        </w:rPr>
                        <m:t>2</m:t>
                      </m:r>
                    </m:sub>
                  </m:sSub>
                </m:den>
              </m:f>
              <m:r>
                <w:rPr>
                  <w:rFonts w:ascii="Cambria Math" w:eastAsia="Cambria Math" w:hAnsi="Cambria Math"/>
                  <w:sz w:val="22"/>
                  <w:szCs w:val="22"/>
                </w:rPr>
                <m:t xml:space="preserve">    </m:t>
              </m:r>
              <m:d>
                <m:dPr>
                  <m:ctrlPr>
                    <w:rPr>
                      <w:rFonts w:ascii="Cambria Math" w:eastAsia="Cambria Math" w:hAnsi="Cambria Math"/>
                      <w:i/>
                      <w:sz w:val="22"/>
                      <w:szCs w:val="22"/>
                    </w:rPr>
                  </m:ctrlPr>
                </m:dPr>
                <m:e>
                  <m:f>
                    <m:fPr>
                      <m:type m:val="lin"/>
                      <m:ctrlPr>
                        <w:rPr>
                          <w:rFonts w:ascii="Cambria Math" w:hAnsi="Cambria Math"/>
                          <w:i/>
                          <w:sz w:val="22"/>
                          <w:szCs w:val="22"/>
                        </w:rPr>
                      </m:ctrlPr>
                    </m:fPr>
                    <m:num>
                      <m:nary>
                        <m:naryPr>
                          <m:chr m:val="∑"/>
                          <m:limLoc m:val="undOvr"/>
                          <m:ctrlPr>
                            <w:rPr>
                              <w:rFonts w:ascii="Cambria Math" w:hAnsi="Cambria Math"/>
                              <w:i/>
                              <w:sz w:val="22"/>
                              <w:szCs w:val="22"/>
                            </w:rPr>
                          </m:ctrlPr>
                        </m:naryPr>
                        <m:sub>
                          <m:r>
                            <w:rPr>
                              <w:rFonts w:ascii="Cambria Math" w:hAnsi="Cambria Math"/>
                              <w:sz w:val="22"/>
                              <w:szCs w:val="22"/>
                            </w:rPr>
                            <m:t>r=1</m:t>
                          </m:r>
                        </m:sub>
                        <m:sup>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1</m:t>
                              </m:r>
                            </m:sub>
                          </m:sSub>
                        </m:sup>
                        <m:e>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r</m:t>
                              </m:r>
                            </m:sub>
                            <m:sup>
                              <m:r>
                                <w:rPr>
                                  <w:rFonts w:ascii="Cambria Math" w:hAnsi="Cambria Math"/>
                                  <w:sz w:val="22"/>
                                  <w:szCs w:val="22"/>
                                </w:rPr>
                                <m:t>+</m:t>
                              </m:r>
                            </m:sup>
                          </m:sSubSup>
                        </m:e>
                      </m:nary>
                    </m:num>
                    <m:den>
                      <m:sSub>
                        <m:sSubPr>
                          <m:ctrlPr>
                            <w:rPr>
                              <w:rFonts w:ascii="Cambria Math" w:hAnsi="Cambria Math"/>
                              <w:i/>
                              <w:sz w:val="22"/>
                              <w:szCs w:val="22"/>
                            </w:rPr>
                          </m:ctrlPr>
                        </m:sSubPr>
                        <m:e>
                          <m:r>
                            <w:rPr>
                              <w:rFonts w:ascii="Cambria Math" w:hAnsi="Cambria Math"/>
                              <w:sz w:val="22"/>
                              <w:szCs w:val="22"/>
                            </w:rPr>
                            <m:t>y</m:t>
                          </m:r>
                        </m:e>
                        <m:sub>
                          <m:r>
                            <w:rPr>
                              <w:rFonts w:ascii="Cambria Math" w:hAnsi="Cambria Math"/>
                              <w:sz w:val="22"/>
                              <w:szCs w:val="22"/>
                            </w:rPr>
                            <m:t>rk</m:t>
                          </m:r>
                        </m:sub>
                      </m:sSub>
                    </m:den>
                  </m:f>
                  <m:r>
                    <w:rPr>
                      <w:rFonts w:ascii="Cambria Math" w:hAnsi="Cambria Math"/>
                      <w:sz w:val="22"/>
                      <w:szCs w:val="22"/>
                    </w:rPr>
                    <m:t>+</m:t>
                  </m:r>
                  <m:f>
                    <m:fPr>
                      <m:type m:val="lin"/>
                      <m:ctrlPr>
                        <w:rPr>
                          <w:rFonts w:ascii="Cambria Math" w:hAnsi="Cambria Math"/>
                          <w:i/>
                          <w:sz w:val="22"/>
                          <w:szCs w:val="22"/>
                        </w:rPr>
                      </m:ctrlPr>
                    </m:fPr>
                    <m:num>
                      <m:nary>
                        <m:naryPr>
                          <m:chr m:val="∑"/>
                          <m:limLoc m:val="undOvr"/>
                          <m:ctrlPr>
                            <w:rPr>
                              <w:rFonts w:ascii="Cambria Math" w:hAnsi="Cambria Math"/>
                              <w:i/>
                              <w:sz w:val="22"/>
                              <w:szCs w:val="22"/>
                            </w:rPr>
                          </m:ctrlPr>
                        </m:naryPr>
                        <m:sub>
                          <m:r>
                            <w:rPr>
                              <w:rFonts w:ascii="Cambria Math" w:hAnsi="Cambria Math"/>
                              <w:sz w:val="22"/>
                              <w:szCs w:val="22"/>
                            </w:rPr>
                            <m:t>g=1</m:t>
                          </m:r>
                        </m:sub>
                        <m:sup>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2</m:t>
                              </m:r>
                            </m:sub>
                          </m:sSub>
                        </m:sup>
                        <m:e>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g</m:t>
                              </m:r>
                            </m:sub>
                            <m:sup>
                              <m:r>
                                <w:rPr>
                                  <w:rFonts w:ascii="Cambria Math" w:hAnsi="Cambria Math"/>
                                  <w:sz w:val="22"/>
                                  <w:szCs w:val="22"/>
                                </w:rPr>
                                <m:t>z-</m:t>
                              </m:r>
                            </m:sup>
                          </m:sSubSup>
                        </m:e>
                      </m:nary>
                    </m:num>
                    <m:den>
                      <m:sSub>
                        <m:sSubPr>
                          <m:ctrlPr>
                            <w:rPr>
                              <w:rFonts w:ascii="Cambria Math" w:hAnsi="Cambria Math"/>
                              <w:i/>
                              <w:sz w:val="22"/>
                              <w:szCs w:val="22"/>
                            </w:rPr>
                          </m:ctrlPr>
                        </m:sSubPr>
                        <m:e>
                          <m:r>
                            <w:rPr>
                              <w:rFonts w:ascii="Cambria Math" w:hAnsi="Cambria Math"/>
                              <w:sz w:val="22"/>
                              <w:szCs w:val="22"/>
                            </w:rPr>
                            <m:t>z</m:t>
                          </m:r>
                        </m:e>
                        <m:sub>
                          <m:r>
                            <w:rPr>
                              <w:rFonts w:ascii="Cambria Math" w:hAnsi="Cambria Math"/>
                              <w:sz w:val="22"/>
                              <w:szCs w:val="22"/>
                            </w:rPr>
                            <m:t>gk</m:t>
                          </m:r>
                        </m:sub>
                      </m:sSub>
                    </m:den>
                  </m:f>
                </m:e>
              </m:d>
            </m:den>
          </m:f>
        </m:oMath>
      </m:oMathPara>
    </w:p>
    <w:p w14:paraId="45EEE97B" w14:textId="77777777" w:rsidR="008061A3" w:rsidRPr="007828C5" w:rsidRDefault="008061A3" w:rsidP="007828C5">
      <w:pPr>
        <w:pStyle w:val="Displayedequation"/>
        <w:spacing w:before="120" w:after="120" w:line="240" w:lineRule="auto"/>
        <w:jc w:val="left"/>
        <w:rPr>
          <w:rFonts w:eastAsia="MyriadPro-SemiboldSemiCn"/>
          <w:sz w:val="22"/>
          <w:szCs w:val="22"/>
          <w14:ligatures w14:val="standardContextual"/>
        </w:rPr>
      </w:pPr>
      <w:r w:rsidRPr="007828C5">
        <w:rPr>
          <w:rFonts w:eastAsia="MyriadPro-SemiboldSemiCn"/>
          <w:sz w:val="22"/>
          <w:szCs w:val="22"/>
        </w:rPr>
        <w:t xml:space="preserve">Subject to      </w:t>
      </w:r>
    </w:p>
    <w:p w14:paraId="797FDCBC" w14:textId="77777777" w:rsidR="008061A3" w:rsidRPr="007828C5" w:rsidRDefault="008061A3" w:rsidP="007828C5">
      <w:pPr>
        <w:pStyle w:val="Displayedequation"/>
        <w:spacing w:before="120" w:after="120" w:line="240" w:lineRule="auto"/>
        <w:jc w:val="left"/>
        <w:rPr>
          <w:rFonts w:eastAsia="MyriadPro-SemiboldSemiCn"/>
          <w:sz w:val="22"/>
          <w:szCs w:val="22"/>
          <w14:ligatures w14:val="standardContextual"/>
        </w:rPr>
      </w:pPr>
      <m:oMathPara>
        <m:oMath>
          <m:r>
            <w:rPr>
              <w:rFonts w:ascii="Cambria Math" w:hAnsi="Cambria Math"/>
              <w:sz w:val="22"/>
              <w:szCs w:val="22"/>
            </w:rPr>
            <m:t xml:space="preserve">                           </m:t>
          </m:r>
          <m:nary>
            <m:naryPr>
              <m:chr m:val="∑"/>
              <m:grow m:val="1"/>
              <m:ctrlPr>
                <w:rPr>
                  <w:rFonts w:ascii="Cambria Math" w:hAnsi="Cambria Math"/>
                  <w:sz w:val="22"/>
                  <w:szCs w:val="22"/>
                </w:rPr>
              </m:ctrlPr>
            </m:naryPr>
            <m:sub>
              <m:r>
                <w:rPr>
                  <w:rFonts w:ascii="Cambria Math" w:eastAsia="Cambria Math" w:hAnsi="Cambria Math"/>
                  <w:sz w:val="22"/>
                  <w:szCs w:val="22"/>
                </w:rPr>
                <m:t>j=1,≠k</m:t>
              </m:r>
            </m:sub>
            <m:sup>
              <m:r>
                <w:rPr>
                  <w:rFonts w:ascii="Cambria Math" w:eastAsia="Cambria Math" w:hAnsi="Cambria Math"/>
                  <w:sz w:val="22"/>
                  <w:szCs w:val="22"/>
                </w:rPr>
                <m:t>n</m:t>
              </m:r>
            </m:sup>
            <m:e>
              <m:sSub>
                <m:sSubPr>
                  <m:ctrlPr>
                    <w:rPr>
                      <w:rFonts w:ascii="Cambria Math" w:hAnsi="Cambria Math"/>
                      <w:i/>
                      <w:sz w:val="22"/>
                      <w:szCs w:val="22"/>
                    </w:rPr>
                  </m:ctrlPr>
                </m:sSubPr>
                <m:e>
                  <m:r>
                    <w:rPr>
                      <w:rFonts w:ascii="Cambria Math" w:hAnsi="Cambria Math"/>
                      <w:sz w:val="22"/>
                      <w:szCs w:val="22"/>
                    </w:rPr>
                    <m:t>x</m:t>
                  </m:r>
                </m:e>
                <m:sub>
                  <m:r>
                    <w:rPr>
                      <w:rFonts w:ascii="Cambria Math" w:hAnsi="Cambria Math"/>
                      <w:sz w:val="22"/>
                      <w:szCs w:val="22"/>
                    </w:rPr>
                    <m:t>ij</m:t>
                  </m:r>
                </m:sub>
              </m:sSub>
              <m:sSub>
                <m:sSubPr>
                  <m:ctrlPr>
                    <w:rPr>
                      <w:rFonts w:ascii="Cambria Math" w:hAnsi="Cambria Math"/>
                      <w:i/>
                      <w:sz w:val="22"/>
                      <w:szCs w:val="22"/>
                    </w:rPr>
                  </m:ctrlPr>
                </m:sSubPr>
                <m:e>
                  <m:r>
                    <w:rPr>
                      <w:rFonts w:ascii="Cambria Math" w:hAnsi="Cambria Math"/>
                      <w:sz w:val="22"/>
                      <w:szCs w:val="22"/>
                    </w:rPr>
                    <m:t>λ</m:t>
                  </m:r>
                </m:e>
                <m:sub>
                  <m:r>
                    <w:rPr>
                      <w:rFonts w:ascii="Cambria Math" w:hAnsi="Cambria Math"/>
                      <w:sz w:val="22"/>
                      <w:szCs w:val="22"/>
                    </w:rPr>
                    <m:t>j</m:t>
                  </m:r>
                </m:sub>
              </m:sSub>
              <m:r>
                <w:rPr>
                  <w:rFonts w:ascii="Cambria Math" w:hAnsi="Cambria Math"/>
                  <w:sz w:val="22"/>
                  <w:szCs w:val="22"/>
                </w:rPr>
                <m:t>-</m:t>
              </m:r>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i</m:t>
                  </m:r>
                </m:sub>
                <m:sup>
                  <m:r>
                    <w:rPr>
                      <w:rFonts w:ascii="Cambria Math" w:hAnsi="Cambria Math"/>
                      <w:sz w:val="22"/>
                      <w:szCs w:val="22"/>
                    </w:rPr>
                    <m:t>-</m:t>
                  </m:r>
                </m:sup>
              </m:sSubSup>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x</m:t>
                  </m:r>
                </m:e>
                <m:sub>
                  <m:r>
                    <w:rPr>
                      <w:rFonts w:ascii="Cambria Math" w:hAnsi="Cambria Math"/>
                      <w:sz w:val="22"/>
                      <w:szCs w:val="22"/>
                    </w:rPr>
                    <m:t>ik</m:t>
                  </m:r>
                </m:sub>
              </m:sSub>
            </m:e>
          </m:nary>
          <m:r>
            <w:rPr>
              <w:rFonts w:ascii="Cambria Math" w:hAnsi="Cambria Math"/>
              <w:sz w:val="22"/>
              <w:szCs w:val="22"/>
            </w:rPr>
            <m:t xml:space="preserve">     i=1, 2,…, m</m:t>
          </m:r>
        </m:oMath>
      </m:oMathPara>
    </w:p>
    <w:p w14:paraId="39441C52" w14:textId="77777777" w:rsidR="008061A3" w:rsidRPr="007828C5" w:rsidRDefault="008061A3" w:rsidP="007828C5">
      <w:pPr>
        <w:pStyle w:val="Displayedequation"/>
        <w:spacing w:before="120" w:after="120" w:line="240" w:lineRule="auto"/>
        <w:jc w:val="left"/>
        <w:rPr>
          <w:rFonts w:eastAsia="MyriadPro-SemiboldSemiCn"/>
          <w:sz w:val="22"/>
          <w:szCs w:val="22"/>
        </w:rPr>
      </w:pPr>
      <m:oMathPara>
        <m:oMath>
          <m:r>
            <w:rPr>
              <w:rFonts w:ascii="Cambria Math" w:hAnsi="Cambria Math"/>
              <w:sz w:val="22"/>
              <w:szCs w:val="22"/>
            </w:rPr>
            <m:t xml:space="preserve">                           </m:t>
          </m:r>
          <m:nary>
            <m:naryPr>
              <m:chr m:val="∑"/>
              <m:grow m:val="1"/>
              <m:ctrlPr>
                <w:rPr>
                  <w:rFonts w:ascii="Cambria Math" w:hAnsi="Cambria Math"/>
                  <w:sz w:val="22"/>
                  <w:szCs w:val="22"/>
                </w:rPr>
              </m:ctrlPr>
            </m:naryPr>
            <m:sub>
              <m:r>
                <w:rPr>
                  <w:rFonts w:ascii="Cambria Math" w:eastAsia="Cambria Math" w:hAnsi="Cambria Math"/>
                  <w:sz w:val="22"/>
                  <w:szCs w:val="22"/>
                </w:rPr>
                <m:t>j=1,≠k</m:t>
              </m:r>
            </m:sub>
            <m:sup>
              <m:r>
                <w:rPr>
                  <w:rFonts w:ascii="Cambria Math" w:eastAsia="Cambria Math" w:hAnsi="Cambria Math"/>
                  <w:sz w:val="22"/>
                  <w:szCs w:val="22"/>
                </w:rPr>
                <m:t>n</m:t>
              </m:r>
            </m:sup>
            <m:e>
              <m:sSub>
                <m:sSubPr>
                  <m:ctrlPr>
                    <w:rPr>
                      <w:rFonts w:ascii="Cambria Math" w:hAnsi="Cambria Math"/>
                      <w:i/>
                      <w:sz w:val="22"/>
                      <w:szCs w:val="22"/>
                    </w:rPr>
                  </m:ctrlPr>
                </m:sSubPr>
                <m:e>
                  <m:r>
                    <w:rPr>
                      <w:rFonts w:ascii="Cambria Math" w:hAnsi="Cambria Math"/>
                      <w:sz w:val="22"/>
                      <w:szCs w:val="22"/>
                    </w:rPr>
                    <m:t>y</m:t>
                  </m:r>
                </m:e>
                <m:sub>
                  <m:r>
                    <w:rPr>
                      <w:rFonts w:ascii="Cambria Math" w:hAnsi="Cambria Math"/>
                      <w:sz w:val="22"/>
                      <w:szCs w:val="22"/>
                    </w:rPr>
                    <m:t>rj</m:t>
                  </m:r>
                </m:sub>
              </m:sSub>
              <m:sSub>
                <m:sSubPr>
                  <m:ctrlPr>
                    <w:rPr>
                      <w:rFonts w:ascii="Cambria Math" w:hAnsi="Cambria Math"/>
                      <w:i/>
                      <w:sz w:val="22"/>
                      <w:szCs w:val="22"/>
                    </w:rPr>
                  </m:ctrlPr>
                </m:sSubPr>
                <m:e>
                  <m:r>
                    <w:rPr>
                      <w:rFonts w:ascii="Cambria Math" w:hAnsi="Cambria Math"/>
                      <w:sz w:val="22"/>
                      <w:szCs w:val="22"/>
                    </w:rPr>
                    <m:t>λ</m:t>
                  </m:r>
                </m:e>
                <m:sub>
                  <m:r>
                    <w:rPr>
                      <w:rFonts w:ascii="Cambria Math" w:hAnsi="Cambria Math"/>
                      <w:sz w:val="22"/>
                      <w:szCs w:val="22"/>
                    </w:rPr>
                    <m:t>j</m:t>
                  </m:r>
                </m:sub>
              </m:sSub>
              <m:r>
                <w:rPr>
                  <w:rFonts w:ascii="Cambria Math" w:hAnsi="Cambria Math"/>
                  <w:sz w:val="22"/>
                  <w:szCs w:val="22"/>
                </w:rPr>
                <m:t>+</m:t>
              </m:r>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r</m:t>
                  </m:r>
                </m:sub>
                <m:sup>
                  <m:r>
                    <w:rPr>
                      <w:rFonts w:ascii="Cambria Math" w:hAnsi="Cambria Math"/>
                      <w:sz w:val="22"/>
                      <w:szCs w:val="22"/>
                    </w:rPr>
                    <m:t>+</m:t>
                  </m:r>
                </m:sup>
              </m:sSubSup>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y</m:t>
                  </m:r>
                </m:e>
                <m:sub>
                  <m:r>
                    <w:rPr>
                      <w:rFonts w:ascii="Cambria Math" w:hAnsi="Cambria Math"/>
                      <w:sz w:val="22"/>
                      <w:szCs w:val="22"/>
                    </w:rPr>
                    <m:t>rk</m:t>
                  </m:r>
                </m:sub>
              </m:sSub>
            </m:e>
          </m:nary>
          <m:r>
            <w:rPr>
              <w:rFonts w:ascii="Cambria Math" w:hAnsi="Cambria Math"/>
              <w:sz w:val="22"/>
              <w:szCs w:val="22"/>
            </w:rPr>
            <m:t xml:space="preserve">    r=1, 2,…,</m:t>
          </m:r>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1</m:t>
              </m:r>
            </m:sub>
          </m:sSub>
        </m:oMath>
      </m:oMathPara>
    </w:p>
    <w:p w14:paraId="04FF51BB" w14:textId="77777777" w:rsidR="008061A3" w:rsidRPr="007828C5" w:rsidRDefault="008061A3" w:rsidP="007828C5">
      <w:pPr>
        <w:pStyle w:val="Displayedequation"/>
        <w:spacing w:before="120" w:after="120" w:line="240" w:lineRule="auto"/>
        <w:jc w:val="left"/>
        <w:rPr>
          <w:rFonts w:eastAsia="MyriadPro-SemiboldSemiCn"/>
          <w:sz w:val="22"/>
          <w:szCs w:val="22"/>
          <w14:ligatures w14:val="standardContextual"/>
        </w:rPr>
      </w:pPr>
      <m:oMathPara>
        <m:oMath>
          <m:r>
            <w:rPr>
              <w:rFonts w:ascii="Cambria Math" w:hAnsi="Cambria Math"/>
              <w:sz w:val="22"/>
              <w:szCs w:val="22"/>
            </w:rPr>
            <m:t xml:space="preserve">                           </m:t>
          </m:r>
          <m:nary>
            <m:naryPr>
              <m:chr m:val="∑"/>
              <m:grow m:val="1"/>
              <m:ctrlPr>
                <w:rPr>
                  <w:rFonts w:ascii="Cambria Math" w:hAnsi="Cambria Math"/>
                  <w:sz w:val="22"/>
                  <w:szCs w:val="22"/>
                </w:rPr>
              </m:ctrlPr>
            </m:naryPr>
            <m:sub>
              <m:r>
                <w:rPr>
                  <w:rFonts w:ascii="Cambria Math" w:eastAsia="Cambria Math" w:hAnsi="Cambria Math"/>
                  <w:sz w:val="22"/>
                  <w:szCs w:val="22"/>
                </w:rPr>
                <m:t>j=1,≠k</m:t>
              </m:r>
            </m:sub>
            <m:sup>
              <m:r>
                <w:rPr>
                  <w:rFonts w:ascii="Cambria Math" w:eastAsia="Cambria Math" w:hAnsi="Cambria Math"/>
                  <w:sz w:val="22"/>
                  <w:szCs w:val="22"/>
                </w:rPr>
                <m:t>n</m:t>
              </m:r>
            </m:sup>
            <m:e>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z</m:t>
                      </m:r>
                    </m:e>
                    <m:sub>
                      <m:r>
                        <w:rPr>
                          <w:rFonts w:ascii="Cambria Math" w:hAnsi="Cambria Math"/>
                          <w:sz w:val="22"/>
                          <w:szCs w:val="22"/>
                        </w:rPr>
                        <m:t>gj</m:t>
                      </m:r>
                    </m:sub>
                  </m:sSub>
                  <m:r>
                    <w:rPr>
                      <w:rFonts w:ascii="Cambria Math" w:hAnsi="Cambria Math"/>
                      <w:sz w:val="22"/>
                      <w:szCs w:val="22"/>
                    </w:rPr>
                    <m:t>λ</m:t>
                  </m:r>
                </m:e>
                <m:sub>
                  <m:r>
                    <w:rPr>
                      <w:rFonts w:ascii="Cambria Math" w:hAnsi="Cambria Math"/>
                      <w:sz w:val="22"/>
                      <w:szCs w:val="22"/>
                    </w:rPr>
                    <m:t>j</m:t>
                  </m:r>
                </m:sub>
              </m:sSub>
              <m:r>
                <w:rPr>
                  <w:rFonts w:ascii="Cambria Math" w:hAnsi="Cambria Math"/>
                  <w:sz w:val="22"/>
                  <w:szCs w:val="22"/>
                </w:rPr>
                <m:t>-</m:t>
              </m:r>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g</m:t>
                  </m:r>
                </m:sub>
                <m:sup>
                  <m:r>
                    <w:rPr>
                      <w:rFonts w:ascii="Cambria Math" w:hAnsi="Cambria Math"/>
                      <w:sz w:val="22"/>
                      <w:szCs w:val="22"/>
                    </w:rPr>
                    <m:t>z-</m:t>
                  </m:r>
                </m:sup>
              </m:sSubSup>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z</m:t>
                  </m:r>
                </m:e>
                <m:sub>
                  <m:r>
                    <w:rPr>
                      <w:rFonts w:ascii="Cambria Math" w:hAnsi="Cambria Math"/>
                      <w:sz w:val="22"/>
                      <w:szCs w:val="22"/>
                    </w:rPr>
                    <m:t>rk</m:t>
                  </m:r>
                </m:sub>
              </m:sSub>
            </m:e>
          </m:nary>
          <m:r>
            <w:rPr>
              <w:rFonts w:ascii="Cambria Math" w:hAnsi="Cambria Math"/>
              <w:sz w:val="22"/>
              <w:szCs w:val="22"/>
            </w:rPr>
            <m:t xml:space="preserve">    g=1, 2,…,</m:t>
          </m:r>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2</m:t>
              </m:r>
            </m:sub>
          </m:sSub>
        </m:oMath>
      </m:oMathPara>
    </w:p>
    <w:p w14:paraId="51EF218A" w14:textId="77777777" w:rsidR="008061A3" w:rsidRPr="007828C5" w:rsidRDefault="008061A3" w:rsidP="007828C5">
      <w:pPr>
        <w:pStyle w:val="Displayedequation"/>
        <w:spacing w:before="120" w:after="120" w:line="240" w:lineRule="auto"/>
        <w:jc w:val="left"/>
        <w:rPr>
          <w:rFonts w:eastAsia="MyriadPro-SemiboldSemiCn"/>
          <w:sz w:val="22"/>
          <w:szCs w:val="22"/>
          <w14:ligatures w14:val="standardContextual"/>
        </w:rPr>
      </w:pPr>
      <m:oMathPara>
        <m:oMath>
          <m:r>
            <w:rPr>
              <w:rFonts w:ascii="Cambria Math" w:hAnsi="Cambria Math"/>
              <w:sz w:val="22"/>
              <w:szCs w:val="22"/>
            </w:rPr>
            <m:t xml:space="preserve">                           </m:t>
          </m:r>
          <w:bookmarkStart w:id="1" w:name="_Hlk202351948"/>
          <m:nary>
            <m:naryPr>
              <m:chr m:val="∑"/>
              <m:grow m:val="1"/>
              <m:ctrlPr>
                <w:rPr>
                  <w:rFonts w:ascii="Cambria Math" w:hAnsi="Cambria Math"/>
                  <w:sz w:val="22"/>
                  <w:szCs w:val="22"/>
                </w:rPr>
              </m:ctrlPr>
            </m:naryPr>
            <m:sub>
              <m:r>
                <w:rPr>
                  <w:rFonts w:ascii="Cambria Math" w:eastAsia="Cambria Math" w:hAnsi="Cambria Math"/>
                  <w:sz w:val="22"/>
                  <w:szCs w:val="22"/>
                </w:rPr>
                <m:t>j=1,≠k</m:t>
              </m:r>
            </m:sub>
            <m:sup>
              <m:r>
                <w:rPr>
                  <w:rFonts w:ascii="Cambria Math" w:eastAsia="Cambria Math" w:hAnsi="Cambria Math"/>
                  <w:sz w:val="22"/>
                  <w:szCs w:val="22"/>
                </w:rPr>
                <m:t>n</m:t>
              </m:r>
            </m:sup>
            <m:e>
              <m:sSub>
                <m:sSubPr>
                  <m:ctrlPr>
                    <w:rPr>
                      <w:rFonts w:ascii="Cambria Math" w:hAnsi="Cambria Math"/>
                      <w:i/>
                      <w:sz w:val="22"/>
                      <w:szCs w:val="22"/>
                    </w:rPr>
                  </m:ctrlPr>
                </m:sSubPr>
                <m:e>
                  <m:r>
                    <w:rPr>
                      <w:rFonts w:ascii="Cambria Math" w:hAnsi="Cambria Math"/>
                      <w:sz w:val="22"/>
                      <w:szCs w:val="22"/>
                    </w:rPr>
                    <m:t>λ</m:t>
                  </m:r>
                </m:e>
                <m:sub>
                  <m:r>
                    <w:rPr>
                      <w:rFonts w:ascii="Cambria Math" w:hAnsi="Cambria Math"/>
                      <w:sz w:val="22"/>
                      <w:szCs w:val="22"/>
                    </w:rPr>
                    <m:t>ij</m:t>
                  </m:r>
                </m:sub>
              </m:sSub>
              <m:r>
                <w:rPr>
                  <w:rFonts w:ascii="Cambria Math" w:hAnsi="Cambria Math"/>
                  <w:sz w:val="22"/>
                  <w:szCs w:val="22"/>
                </w:rPr>
                <m:t>=1</m:t>
              </m:r>
            </m:e>
          </m:nary>
        </m:oMath>
      </m:oMathPara>
      <w:bookmarkEnd w:id="1"/>
    </w:p>
    <w:p w14:paraId="5DE68439" w14:textId="77777777" w:rsidR="008061A3" w:rsidRPr="007828C5" w:rsidRDefault="008061A3" w:rsidP="007828C5">
      <w:pPr>
        <w:pStyle w:val="Displayedequation"/>
        <w:spacing w:before="120" w:after="120" w:line="240" w:lineRule="auto"/>
        <w:jc w:val="left"/>
        <w:rPr>
          <w:rFonts w:eastAsia="MyriadPro-SemiboldSemiCn"/>
          <w:sz w:val="22"/>
          <w:szCs w:val="22"/>
          <w14:ligatures w14:val="standardContextual"/>
        </w:rPr>
      </w:pPr>
      <m:oMathPara>
        <m:oMath>
          <m:r>
            <w:rPr>
              <w:rFonts w:ascii="Cambria Math" w:eastAsia="Cambria Math" w:hAnsi="Cambria Math"/>
              <w:sz w:val="22"/>
              <w:szCs w:val="22"/>
            </w:rPr>
            <m:t xml:space="preserve">                           1-</m:t>
          </m:r>
          <m:f>
            <m:fPr>
              <m:ctrlPr>
                <w:rPr>
                  <w:rFonts w:ascii="Cambria Math" w:eastAsia="Cambria Math" w:hAnsi="Cambria Math"/>
                  <w:i/>
                  <w:sz w:val="22"/>
                  <w:szCs w:val="22"/>
                </w:rPr>
              </m:ctrlPr>
            </m:fPr>
            <m:num>
              <m:r>
                <w:rPr>
                  <w:rFonts w:ascii="Cambria Math" w:eastAsia="Cambria Math" w:hAnsi="Cambria Math"/>
                  <w:sz w:val="22"/>
                  <w:szCs w:val="22"/>
                </w:rPr>
                <m:t>1</m:t>
              </m:r>
            </m:num>
            <m:den>
              <m:sSub>
                <m:sSubPr>
                  <m:ctrlPr>
                    <w:rPr>
                      <w:rFonts w:ascii="Cambria Math" w:eastAsia="Cambria Math" w:hAnsi="Cambria Math"/>
                      <w:i/>
                      <w:sz w:val="22"/>
                      <w:szCs w:val="22"/>
                    </w:rPr>
                  </m:ctrlPr>
                </m:sSubPr>
                <m:e>
                  <m:r>
                    <w:rPr>
                      <w:rFonts w:ascii="Cambria Math" w:eastAsia="Cambria Math" w:hAnsi="Cambria Math"/>
                      <w:sz w:val="22"/>
                      <w:szCs w:val="22"/>
                    </w:rPr>
                    <m:t>s</m:t>
                  </m:r>
                </m:e>
                <m:sub>
                  <m:r>
                    <w:rPr>
                      <w:rFonts w:ascii="Cambria Math" w:eastAsia="Cambria Math" w:hAnsi="Cambria Math"/>
                      <w:sz w:val="22"/>
                      <w:szCs w:val="22"/>
                    </w:rPr>
                    <m:t>1</m:t>
                  </m:r>
                </m:sub>
              </m:sSub>
              <m:r>
                <w:rPr>
                  <w:rFonts w:ascii="Cambria Math" w:eastAsia="Cambria Math" w:hAnsi="Cambria Math"/>
                  <w:sz w:val="22"/>
                  <w:szCs w:val="22"/>
                </w:rPr>
                <m:t>+</m:t>
              </m:r>
              <m:sSub>
                <m:sSubPr>
                  <m:ctrlPr>
                    <w:rPr>
                      <w:rFonts w:ascii="Cambria Math" w:eastAsia="Cambria Math" w:hAnsi="Cambria Math"/>
                      <w:i/>
                      <w:sz w:val="22"/>
                      <w:szCs w:val="22"/>
                    </w:rPr>
                  </m:ctrlPr>
                </m:sSubPr>
                <m:e>
                  <m:r>
                    <w:rPr>
                      <w:rFonts w:ascii="Cambria Math" w:eastAsia="Cambria Math" w:hAnsi="Cambria Math"/>
                      <w:sz w:val="22"/>
                      <w:szCs w:val="22"/>
                    </w:rPr>
                    <m:t>s</m:t>
                  </m:r>
                </m:e>
                <m:sub>
                  <m:r>
                    <w:rPr>
                      <w:rFonts w:ascii="Cambria Math" w:eastAsia="Cambria Math" w:hAnsi="Cambria Math"/>
                      <w:sz w:val="22"/>
                      <w:szCs w:val="22"/>
                    </w:rPr>
                    <m:t>2</m:t>
                  </m:r>
                </m:sub>
              </m:sSub>
            </m:den>
          </m:f>
          <m:r>
            <w:rPr>
              <w:rFonts w:ascii="Cambria Math" w:eastAsia="Cambria Math" w:hAnsi="Cambria Math"/>
              <w:sz w:val="22"/>
              <w:szCs w:val="22"/>
            </w:rPr>
            <m:t xml:space="preserve">    </m:t>
          </m:r>
          <m:d>
            <m:dPr>
              <m:ctrlPr>
                <w:rPr>
                  <w:rFonts w:ascii="Cambria Math" w:eastAsia="Cambria Math" w:hAnsi="Cambria Math"/>
                  <w:i/>
                  <w:sz w:val="22"/>
                  <w:szCs w:val="22"/>
                </w:rPr>
              </m:ctrlPr>
            </m:dPr>
            <m:e>
              <m:f>
                <m:fPr>
                  <m:type m:val="lin"/>
                  <m:ctrlPr>
                    <w:rPr>
                      <w:rFonts w:ascii="Cambria Math" w:hAnsi="Cambria Math"/>
                      <w:i/>
                      <w:sz w:val="22"/>
                      <w:szCs w:val="22"/>
                    </w:rPr>
                  </m:ctrlPr>
                </m:fPr>
                <m:num>
                  <m:nary>
                    <m:naryPr>
                      <m:chr m:val="∑"/>
                      <m:limLoc m:val="undOvr"/>
                      <m:ctrlPr>
                        <w:rPr>
                          <w:rFonts w:ascii="Cambria Math" w:hAnsi="Cambria Math"/>
                          <w:i/>
                          <w:sz w:val="22"/>
                          <w:szCs w:val="22"/>
                        </w:rPr>
                      </m:ctrlPr>
                    </m:naryPr>
                    <m:sub>
                      <m:r>
                        <w:rPr>
                          <w:rFonts w:ascii="Cambria Math" w:hAnsi="Cambria Math"/>
                          <w:sz w:val="22"/>
                          <w:szCs w:val="22"/>
                        </w:rPr>
                        <m:t>r=1</m:t>
                      </m:r>
                    </m:sub>
                    <m:sup>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1</m:t>
                          </m:r>
                        </m:sub>
                      </m:sSub>
                    </m:sup>
                    <m:e>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r</m:t>
                          </m:r>
                        </m:sub>
                        <m:sup>
                          <m:r>
                            <w:rPr>
                              <w:rFonts w:ascii="Cambria Math" w:hAnsi="Cambria Math"/>
                              <w:sz w:val="22"/>
                              <w:szCs w:val="22"/>
                            </w:rPr>
                            <m:t>+</m:t>
                          </m:r>
                        </m:sup>
                      </m:sSubSup>
                    </m:e>
                  </m:nary>
                </m:num>
                <m:den>
                  <m:sSub>
                    <m:sSubPr>
                      <m:ctrlPr>
                        <w:rPr>
                          <w:rFonts w:ascii="Cambria Math" w:hAnsi="Cambria Math"/>
                          <w:i/>
                          <w:sz w:val="22"/>
                          <w:szCs w:val="22"/>
                        </w:rPr>
                      </m:ctrlPr>
                    </m:sSubPr>
                    <m:e>
                      <m:r>
                        <w:rPr>
                          <w:rFonts w:ascii="Cambria Math" w:hAnsi="Cambria Math"/>
                          <w:sz w:val="22"/>
                          <w:szCs w:val="22"/>
                        </w:rPr>
                        <m:t>y</m:t>
                      </m:r>
                    </m:e>
                    <m:sub>
                      <m:r>
                        <w:rPr>
                          <w:rFonts w:ascii="Cambria Math" w:hAnsi="Cambria Math"/>
                          <w:sz w:val="22"/>
                          <w:szCs w:val="22"/>
                        </w:rPr>
                        <m:t>rk</m:t>
                      </m:r>
                    </m:sub>
                  </m:sSub>
                </m:den>
              </m:f>
              <m:r>
                <w:rPr>
                  <w:rFonts w:ascii="Cambria Math" w:hAnsi="Cambria Math"/>
                  <w:sz w:val="22"/>
                  <w:szCs w:val="22"/>
                </w:rPr>
                <m:t>+</m:t>
              </m:r>
              <m:f>
                <m:fPr>
                  <m:type m:val="lin"/>
                  <m:ctrlPr>
                    <w:rPr>
                      <w:rFonts w:ascii="Cambria Math" w:hAnsi="Cambria Math"/>
                      <w:i/>
                      <w:sz w:val="22"/>
                      <w:szCs w:val="22"/>
                    </w:rPr>
                  </m:ctrlPr>
                </m:fPr>
                <m:num>
                  <m:nary>
                    <m:naryPr>
                      <m:chr m:val="∑"/>
                      <m:limLoc m:val="undOvr"/>
                      <m:ctrlPr>
                        <w:rPr>
                          <w:rFonts w:ascii="Cambria Math" w:hAnsi="Cambria Math"/>
                          <w:i/>
                          <w:sz w:val="22"/>
                          <w:szCs w:val="22"/>
                        </w:rPr>
                      </m:ctrlPr>
                    </m:naryPr>
                    <m:sub>
                      <m:r>
                        <w:rPr>
                          <w:rFonts w:ascii="Cambria Math" w:hAnsi="Cambria Math"/>
                          <w:sz w:val="22"/>
                          <w:szCs w:val="22"/>
                        </w:rPr>
                        <m:t>g=1</m:t>
                      </m:r>
                    </m:sub>
                    <m:sup>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2</m:t>
                          </m:r>
                        </m:sub>
                      </m:sSub>
                    </m:sup>
                    <m:e>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g</m:t>
                          </m:r>
                        </m:sub>
                        <m:sup>
                          <m:r>
                            <w:rPr>
                              <w:rFonts w:ascii="Cambria Math" w:hAnsi="Cambria Math"/>
                              <w:sz w:val="22"/>
                              <w:szCs w:val="22"/>
                            </w:rPr>
                            <m:t>z-</m:t>
                          </m:r>
                        </m:sup>
                      </m:sSubSup>
                    </m:e>
                  </m:nary>
                </m:num>
                <m:den>
                  <m:sSub>
                    <m:sSubPr>
                      <m:ctrlPr>
                        <w:rPr>
                          <w:rFonts w:ascii="Cambria Math" w:hAnsi="Cambria Math"/>
                          <w:i/>
                          <w:sz w:val="22"/>
                          <w:szCs w:val="22"/>
                        </w:rPr>
                      </m:ctrlPr>
                    </m:sSubPr>
                    <m:e>
                      <m:r>
                        <w:rPr>
                          <w:rFonts w:ascii="Cambria Math" w:hAnsi="Cambria Math"/>
                          <w:sz w:val="22"/>
                          <w:szCs w:val="22"/>
                        </w:rPr>
                        <m:t>z</m:t>
                      </m:r>
                    </m:e>
                    <m:sub>
                      <m:r>
                        <w:rPr>
                          <w:rFonts w:ascii="Cambria Math" w:hAnsi="Cambria Math"/>
                          <w:sz w:val="22"/>
                          <w:szCs w:val="22"/>
                        </w:rPr>
                        <m:t>gk</m:t>
                      </m:r>
                    </m:sub>
                  </m:sSub>
                </m:den>
              </m:f>
            </m:e>
          </m:d>
          <m:r>
            <w:rPr>
              <w:rFonts w:ascii="Cambria Math" w:eastAsia="Cambria Math" w:hAnsi="Cambria Math"/>
              <w:sz w:val="22"/>
              <w:szCs w:val="22"/>
            </w:rPr>
            <m:t>&gt;0</m:t>
          </m:r>
        </m:oMath>
      </m:oMathPara>
    </w:p>
    <w:p w14:paraId="6F6B576B" w14:textId="77777777" w:rsidR="008061A3" w:rsidRPr="007828C5" w:rsidRDefault="008061A3" w:rsidP="007828C5">
      <w:pPr>
        <w:pStyle w:val="Displayedequation"/>
        <w:spacing w:before="120" w:after="120" w:line="240" w:lineRule="auto"/>
        <w:jc w:val="left"/>
        <w:rPr>
          <w:rFonts w:eastAsia="MyriadPro-SemiboldSemiCn"/>
          <w:sz w:val="22"/>
          <w:szCs w:val="22"/>
          <w14:ligatures w14:val="standardContextual"/>
        </w:rPr>
      </w:pPr>
      <m:oMathPara>
        <m:oMath>
          <m:r>
            <w:rPr>
              <w:rFonts w:ascii="Cambria Math" w:eastAsia="MyriadPro-SemiboldSemiCn" w:hAnsi="Cambria Math"/>
              <w:sz w:val="22"/>
              <w:szCs w:val="22"/>
              <w14:ligatures w14:val="standardContextual"/>
            </w:rPr>
            <m:t xml:space="preserve">                           </m:t>
          </m:r>
          <m:sSub>
            <m:sSubPr>
              <m:ctrlPr>
                <w:rPr>
                  <w:rFonts w:ascii="Cambria Math" w:eastAsia="MyriadPro-SemiboldSemiCn" w:hAnsi="Cambria Math"/>
                  <w:i/>
                  <w:sz w:val="22"/>
                  <w:szCs w:val="22"/>
                  <w14:ligatures w14:val="standardContextual"/>
                </w:rPr>
              </m:ctrlPr>
            </m:sSubPr>
            <m:e>
              <m:r>
                <w:rPr>
                  <w:rFonts w:ascii="Cambria Math" w:hAnsi="Cambria Math"/>
                  <w:sz w:val="22"/>
                  <w:szCs w:val="22"/>
                </w:rPr>
                <m:t>λ</m:t>
              </m:r>
            </m:e>
            <m:sub>
              <m:r>
                <w:rPr>
                  <w:rFonts w:ascii="Cambria Math" w:eastAsia="MyriadPro-SemiboldSemiCn" w:hAnsi="Cambria Math"/>
                  <w:sz w:val="22"/>
                  <w:szCs w:val="22"/>
                  <w14:ligatures w14:val="standardContextual"/>
                </w:rPr>
                <m:t>j</m:t>
              </m:r>
            </m:sub>
          </m:sSub>
          <m:r>
            <w:rPr>
              <w:rFonts w:ascii="Cambria Math" w:eastAsia="MyriadPro-SemiboldSemiCn" w:hAnsi="Cambria Math"/>
              <w:sz w:val="22"/>
              <w:szCs w:val="22"/>
              <w14:ligatures w14:val="standardContextual"/>
            </w:rPr>
            <m:t xml:space="preserve">≥0, </m:t>
          </m:r>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i</m:t>
              </m:r>
            </m:sub>
            <m:sup>
              <m:r>
                <w:rPr>
                  <w:rFonts w:ascii="Cambria Math" w:hAnsi="Cambria Math"/>
                  <w:sz w:val="22"/>
                  <w:szCs w:val="22"/>
                </w:rPr>
                <m:t>-</m:t>
              </m:r>
            </m:sup>
          </m:sSubSup>
          <m:r>
            <w:rPr>
              <w:rFonts w:ascii="Cambria Math" w:eastAsia="MyriadPro-SemiboldSemiCn" w:hAnsi="Cambria Math"/>
              <w:sz w:val="22"/>
              <w:szCs w:val="22"/>
              <w14:ligatures w14:val="standardContextual"/>
            </w:rPr>
            <m:t>≥0,</m:t>
          </m:r>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r</m:t>
              </m:r>
            </m:sub>
            <m:sup>
              <m:r>
                <w:rPr>
                  <w:rFonts w:ascii="Cambria Math" w:hAnsi="Cambria Math"/>
                  <w:sz w:val="22"/>
                  <w:szCs w:val="22"/>
                </w:rPr>
                <m:t>+</m:t>
              </m:r>
            </m:sup>
          </m:sSubSup>
          <m:r>
            <w:rPr>
              <w:rFonts w:ascii="Cambria Math" w:eastAsia="MyriadPro-SemiboldSemiCn" w:hAnsi="Cambria Math"/>
              <w:sz w:val="22"/>
              <w:szCs w:val="22"/>
              <w14:ligatures w14:val="standardContextual"/>
            </w:rPr>
            <m:t xml:space="preserve">≥0, </m:t>
          </m:r>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g</m:t>
              </m:r>
            </m:sub>
            <m:sup>
              <m:r>
                <w:rPr>
                  <w:rFonts w:ascii="Cambria Math" w:hAnsi="Cambria Math"/>
                  <w:sz w:val="22"/>
                  <w:szCs w:val="22"/>
                </w:rPr>
                <m:t>z-</m:t>
              </m:r>
            </m:sup>
          </m:sSubSup>
          <m:r>
            <w:rPr>
              <w:rFonts w:ascii="Cambria Math" w:eastAsia="MyriadPro-SemiboldSemiCn" w:hAnsi="Cambria Math"/>
              <w:sz w:val="22"/>
              <w:szCs w:val="22"/>
              <w14:ligatures w14:val="standardContextual"/>
            </w:rPr>
            <m:t>≥0</m:t>
          </m:r>
        </m:oMath>
      </m:oMathPara>
    </w:p>
    <w:p w14:paraId="0405A67A" w14:textId="77777777" w:rsidR="008061A3" w:rsidRPr="007828C5" w:rsidRDefault="008061A3" w:rsidP="007828C5">
      <w:pPr>
        <w:pStyle w:val="Displayedequation"/>
        <w:spacing w:before="120" w:after="120" w:line="240" w:lineRule="auto"/>
        <w:jc w:val="left"/>
        <w:rPr>
          <w:rFonts w:eastAsia="MyriadPro-SemiboldSemiCn"/>
          <w:sz w:val="22"/>
          <w:szCs w:val="22"/>
          <w14:ligatures w14:val="standardContextual"/>
        </w:rPr>
      </w:pPr>
      <m:oMathPara>
        <m:oMathParaPr>
          <m:jc m:val="left"/>
        </m:oMathParaPr>
        <m:oMath>
          <m:r>
            <w:rPr>
              <w:rFonts w:ascii="Cambria Math" w:eastAsia="MyriadPro-SemiboldSemiCn" w:hAnsi="Cambria Math"/>
              <w:sz w:val="22"/>
              <w:szCs w:val="22"/>
              <w14:ligatures w14:val="standardContextual"/>
            </w:rPr>
            <m:t xml:space="preserve">                                j=1,2,…,n(j≠k)</m:t>
          </m:r>
        </m:oMath>
      </m:oMathPara>
    </w:p>
    <w:p w14:paraId="67D03A82" w14:textId="4B3102D6" w:rsidR="008061A3" w:rsidRPr="007828C5" w:rsidRDefault="008061A3" w:rsidP="007828C5">
      <w:pPr>
        <w:pStyle w:val="Displayedequation"/>
        <w:spacing w:before="120" w:after="120" w:line="240" w:lineRule="auto"/>
        <w:jc w:val="left"/>
        <w:rPr>
          <w:rFonts w:eastAsia="MyriadPro-SemiboldSemiCn"/>
          <w:sz w:val="22"/>
          <w:szCs w:val="22"/>
          <w14:ligatures w14:val="standardContextual"/>
        </w:rPr>
      </w:pPr>
      <w:r w:rsidRPr="007828C5">
        <w:rPr>
          <w:rFonts w:eastAsia="MyriadPro-SemiboldSemiCn"/>
          <w:sz w:val="22"/>
          <w:szCs w:val="22"/>
          <w14:ligatures w14:val="standardContextual"/>
        </w:rPr>
        <w:t xml:space="preserve">                                                                                                                                           </w:t>
      </w:r>
      <w:r w:rsidR="00551707">
        <w:rPr>
          <w:rFonts w:eastAsia="MyriadPro-SemiboldSemiCn"/>
          <w:sz w:val="22"/>
          <w:szCs w:val="22"/>
          <w14:ligatures w14:val="standardContextual"/>
        </w:rPr>
        <w:t xml:space="preserve">                </w:t>
      </w:r>
      <w:r w:rsidRPr="007828C5">
        <w:rPr>
          <w:rFonts w:eastAsia="MyriadPro-SemiboldSemiCn"/>
          <w:sz w:val="22"/>
          <w:szCs w:val="22"/>
          <w14:ligatures w14:val="standardContextual"/>
        </w:rPr>
        <w:t xml:space="preserve">  (3)</w:t>
      </w:r>
    </w:p>
    <w:p w14:paraId="3A61832A" w14:textId="77777777" w:rsidR="008061A3" w:rsidRPr="00046F57" w:rsidRDefault="008061A3" w:rsidP="008430EF">
      <w:pPr>
        <w:pStyle w:val="Newparagraph"/>
        <w:spacing w:before="240"/>
        <w:jc w:val="both"/>
        <w:rPr>
          <w:rFonts w:eastAsia="STIX-Regular"/>
          <w14:ligatures w14:val="standardContextual"/>
        </w:rPr>
      </w:pPr>
      <w:r w:rsidRPr="00046F57">
        <w:t xml:space="preserve">where TFPGE represents the value of TFPGE. A TFPGE score exceeding 1 signifies that the DMU is efficient; λ denotes the linear combination ratio; and </w:t>
      </w:r>
      <m:oMath>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r>
          <w:rPr>
            <w:rFonts w:ascii="Cambria Math" w:eastAsia="MyriadPro-SemiboldSemiCn" w:hAnsi="Cambria Math"/>
            <w14:ligatures w14:val="standardContextual"/>
          </w:rPr>
          <m:t>,</m:t>
        </m:r>
        <m:sSubSup>
          <m:sSubSupPr>
            <m:ctrlPr>
              <w:rPr>
                <w:rFonts w:ascii="Cambria Math" w:hAnsi="Cambria Math"/>
                <w:i/>
              </w:rPr>
            </m:ctrlPr>
          </m:sSubSupPr>
          <m:e>
            <m:r>
              <w:rPr>
                <w:rFonts w:ascii="Cambria Math" w:hAnsi="Cambria Math"/>
              </w:rPr>
              <m:t>s</m:t>
            </m:r>
          </m:e>
          <m:sub>
            <m:r>
              <w:rPr>
                <w:rFonts w:ascii="Cambria Math" w:hAnsi="Cambria Math"/>
              </w:rPr>
              <m:t>r</m:t>
            </m:r>
          </m:sub>
          <m:sup>
            <m:r>
              <w:rPr>
                <w:rFonts w:ascii="Cambria Math" w:hAnsi="Cambria Math"/>
              </w:rPr>
              <m:t>+</m:t>
            </m:r>
          </m:sup>
        </m:sSubSup>
        <m:r>
          <w:rPr>
            <w:rFonts w:ascii="Cambria Math" w:eastAsia="MyriadPro-SemiboldSemiCn" w:hAnsi="Cambria Math"/>
            <w14:ligatures w14:val="standardContextual"/>
          </w:rPr>
          <m:t xml:space="preserve">, </m:t>
        </m:r>
        <m:sSubSup>
          <m:sSubSupPr>
            <m:ctrlPr>
              <w:rPr>
                <w:rFonts w:ascii="Cambria Math" w:hAnsi="Cambria Math"/>
                <w:i/>
              </w:rPr>
            </m:ctrlPr>
          </m:sSubSupPr>
          <m:e>
            <m:r>
              <w:rPr>
                <w:rFonts w:ascii="Cambria Math" w:hAnsi="Cambria Math"/>
              </w:rPr>
              <m:t>s</m:t>
            </m:r>
          </m:e>
          <m:sub>
            <m:r>
              <w:rPr>
                <w:rFonts w:ascii="Cambria Math" w:hAnsi="Cambria Math"/>
              </w:rPr>
              <m:t>g</m:t>
            </m:r>
          </m:sub>
          <m:sup>
            <m:r>
              <w:rPr>
                <w:rFonts w:ascii="Cambria Math" w:hAnsi="Cambria Math"/>
              </w:rPr>
              <m:t>z-</m:t>
            </m:r>
          </m:sup>
        </m:sSubSup>
      </m:oMath>
      <w:r w:rsidRPr="00046F57">
        <w:t xml:space="preserve"> indicate the potential improvements in input elements, desirable outputs, and undesirable outputs, respectively. </w:t>
      </w:r>
      <w:r w:rsidRPr="00046F57">
        <w:rPr>
          <w:shd w:val="clear" w:color="auto" w:fill="FFFFFF"/>
        </w:rPr>
        <w:t xml:space="preserve">The current model is nonlinear and is thus transformed into a linear programming model to facilitate </w:t>
      </w:r>
      <w:r w:rsidRPr="00046F57">
        <w:rPr>
          <w:shd w:val="clear" w:color="auto" w:fill="FFFFFF"/>
        </w:rPr>
        <w:lastRenderedPageBreak/>
        <w:t xml:space="preserve">easier computation. </w:t>
      </w:r>
      <w:r w:rsidRPr="00046F57">
        <w:rPr>
          <w:rFonts w:eastAsia="STIX-Regular"/>
          <w14:ligatures w14:val="standardContextual"/>
        </w:rPr>
        <w:t>The total factor power generation efficiency values, TFPGE, are obtained by solving the model above with R software.</w:t>
      </w:r>
    </w:p>
    <w:p w14:paraId="49F1B85A" w14:textId="77777777" w:rsidR="008061A3" w:rsidRPr="00046F57" w:rsidRDefault="008061A3" w:rsidP="008430EF">
      <w:pPr>
        <w:pStyle w:val="Newparagraph"/>
        <w:spacing w:before="240"/>
        <w:jc w:val="both"/>
      </w:pPr>
      <w:r w:rsidRPr="00046F57">
        <w:t xml:space="preserve">    Following </w:t>
      </w:r>
      <w:r w:rsidRPr="00046F57">
        <w:fldChar w:fldCharType="begin"/>
      </w:r>
      <w:r w:rsidRPr="00046F57">
        <w:instrText xml:space="preserve"> ADDIN ZOTERO_ITEM CSL_CITATION {"citationID":"41FGR9Wh","properties":{"formattedCitation":"(Bi et al., 2014; Emrouznejad &amp; Yang, 2016; M. Meng et al., 2023; M. Meng &amp; Pang, 2023)","plainCitation":"(Bi et al., 2014; Emrouznejad &amp; Yang, 2016; M. Meng et al., 2023; M. Meng &amp; Pang, 2023)","noteIndex":0},"citationItems":[{"id":403,"uris":["http://zotero.org/users/local/wH06Ygim/items/4MZDHMRN"],"itemData":{"id":403,"type":"article-journal","container-title":"Energy Policy","DOI":"10.1016/j.enpol.2013.10.056","ISSN":"03014215","journalAbbreviation":"Energy Policy","language":"en","page":"537-546","source":"DOI.org (Crossref)","title":"Does environmental regulation affect energy efficiency in China's thermal power generation? Empirical evidence from a slacks-based DEA model","title-short":"Does environmental regulation affect energy efficiency in China's thermal power generation?","volume":"66","author":[{"family":"Bi","given":"Gong-Bing"},{"family":"Song","given":"Wen"},{"family":"Zhou","given":"P."},{"family":"Liang","given":"Liang"}],"issued":{"date-parts":[["2014",3]]}}},{"id":430,"uris":["http://zotero.org/users/local/wH06Ygim/items/DBDIPTTZ"],"itemData":{"id":430,"type":"article-journal","container-title":"Energy","DOI":"10.1016/j.energy.2016.09.032","ISSN":"03605442","journalAbbreviation":"Energy","language":"en","page":"840-856","source":"DOI.org (Crossref)","title":"A framework for measuring global Malmquist–Luenberger productivity index with CO2 emissions on Chinese manufacturing industries","volume":"115","author":[{"family":"Emrouznejad","given":"Ali"},{"family":"Yang","given":"Guo-liang"}],"issued":{"date-parts":[["2016",11]]}}},{"id":552,"uris":["http://zotero.org/users/local/wH06Ygim/items/VATM3Z5C"],"itemData":{"id":552,"type":"article-journal","container-title":"Energy Reports","DOI":"10.1016/j.egyr.2023.04.050","ISSN":"23524847","journalAbbreviation":"Energy Reports","language":"en","page":"5196-5205","source":"DOI.org (Crossref)","title":"Assessing the total factor productivity of China’s thermal power industry using a network DEA approach with cross-efficiency","volume":"9","author":[{"family":"Meng","given":"Ming"},{"family":"Pang","given":"Tingting"},{"family":"Li","given":"Xinxin"}],"issued":{"date-parts":[["2023",12]]}}},{"id":504,"uris":["http://zotero.org/users/local/wH06Ygim/items/4SUPPJ5U"],"itemData":{"id":504,"type":"article-journal","abstract":"Abstract\n            Thermal power is the main source of China's electricity supply. Improving total‐factor generation performance (TFGP) is essential for the development of this industry in the current deteriorating operating environment. This study adopts the meta‐frontier nonradial direction distance function approach to measure the static and dynamic TFGPs of the thermal power industry in China's 30 provinces in 2011–2019, and then discusses the regional distribution characteristics and the impact factors using spatial econometric model and Tobit regression method, respectively. Empirical results show that: (I) The TFGPs in central and west China are relatively close, but both are remarkably lower than that in east China. (II) The TFGPs in central and west China have generally remained stable since 2011, whereas that in west China has declined mainly because this region is more susceptible to the situation of electricity supply‐demand. (III) A significant spatial positive correlation exists among provincial TFGPs. High TFGP provinces are mostly in the eastern seaboard region and low TFGP provinces are in southwest China. (IV) Economic development, power structure, fuel prices, and environmental regulation have positive impacts on China's TFGP, while the impacts of technological innovation and energy endowment are not significant.","container-title":"Energy Science &amp; Engineering","DOI":"10.1002/ese3.1468","ISSN":"2050-0505, 2050-0505","issue":"7","journalAbbreviation":"Energy Science &amp; Engineering","language":"en","page":"2668-2685","source":"DOI.org (Crossref)","title":"Total‐factor generation performance analysis of China's thermal power industry using meta‐frontier nonradial distance function approach","volume":"11","author":[{"family":"Meng","given":"Ming"},{"family":"Pang","given":"Tingting"}],"issued":{"date-parts":[["2023",7]]}}}],"schema":"https://github.com/citation-style-language/schema/raw/master/csl-citation.json"} </w:instrText>
      </w:r>
      <w:r w:rsidRPr="00046F57">
        <w:fldChar w:fldCharType="separate"/>
      </w:r>
      <w:r w:rsidRPr="00046F57">
        <w:t>(Bi et al., 2014; Emrouznejad &amp; Yang, 2016; M. Meng et al., 2023; M. Meng &amp; Pang, 2023)</w:t>
      </w:r>
      <w:r w:rsidRPr="00046F57">
        <w:fldChar w:fldCharType="end"/>
      </w:r>
      <w:r w:rsidRPr="00046F57">
        <w:t xml:space="preserve">, we treat the coal-fired power sectors in 30 Chinese provinces as DMUs for TFPGE analysis from 2008 to 2019. Three inputs are evaluated: (1) </w:t>
      </w:r>
      <w:r w:rsidRPr="00046F57">
        <w:rPr>
          <w:i/>
          <w:iCs/>
        </w:rPr>
        <w:t>Capital</w:t>
      </w:r>
      <w:r w:rsidRPr="00046F57">
        <w:t xml:space="preserve"> (K), calculated as provincial coal-fired power installed capacity multiplied by utilization rate; (2) </w:t>
      </w:r>
      <w:r w:rsidRPr="00046F57">
        <w:rPr>
          <w:i/>
          <w:iCs/>
        </w:rPr>
        <w:t>Energy consumption</w:t>
      </w:r>
      <w:r w:rsidRPr="00046F57">
        <w:t xml:space="preserve"> (F), measured as tons of coal used for electricity generation; and (3) </w:t>
      </w:r>
      <w:r w:rsidRPr="00046F57">
        <w:rPr>
          <w:i/>
          <w:iCs/>
        </w:rPr>
        <w:t>Labor</w:t>
      </w:r>
      <w:r w:rsidRPr="00046F57">
        <w:t xml:space="preserve"> (L), represented by the year-end employee count in the power sector. Two outputs are evaluated: (1) </w:t>
      </w:r>
      <w:r w:rsidRPr="00046F57">
        <w:rPr>
          <w:i/>
          <w:iCs/>
        </w:rPr>
        <w:t>Electricity generated</w:t>
      </w:r>
      <w:r w:rsidRPr="00046F57">
        <w:t xml:space="preserve"> (E), measured in kilowatt-hours (kWh) as the desirable output, based on the provincial coal-fired power industry’s electricity consumption relative to total generation; and (2) </w:t>
      </w:r>
      <w:r w:rsidRPr="00046F57">
        <w:rPr>
          <w:i/>
          <w:iCs/>
        </w:rPr>
        <w:t>CO2 emissions</w:t>
      </w:r>
      <w:r w:rsidRPr="00046F57">
        <w:t xml:space="preserve">, calculated from coal combustion for electricity production, as the undesirable output. </w:t>
      </w:r>
    </w:p>
    <w:p w14:paraId="593A2338" w14:textId="77777777" w:rsidR="008061A3" w:rsidRPr="007F6C04" w:rsidRDefault="008061A3" w:rsidP="008061A3">
      <w:pPr>
        <w:pStyle w:val="Heading4Paragraph"/>
      </w:pPr>
      <w:r w:rsidRPr="007F6C04">
        <w:t>3.1.1.2 Independent Variable</w:t>
      </w:r>
    </w:p>
    <w:p w14:paraId="266602F9" w14:textId="58EF71F5" w:rsidR="008061A3" w:rsidRPr="00046F57" w:rsidRDefault="008061A3" w:rsidP="008061A3">
      <w:pPr>
        <w:pStyle w:val="Paragraph"/>
        <w:jc w:val="both"/>
      </w:pPr>
      <w:r w:rsidRPr="0031513B">
        <w:rPr>
          <w:sz w:val="20"/>
          <w:szCs w:val="20"/>
        </w:rPr>
        <w:t xml:space="preserve">    </w:t>
      </w:r>
      <w:r w:rsidRPr="00046F57">
        <w:t>Our research examines how the CETS pilot policy in China impacts TFPGE in coal-fired power. The policy allows pilot regions—Beijing, Tianjin, Shanghai, Chongqing, Hubei, and Guangdong—to set emission limits based on local conditions, with distinct carbon markets and pricing systems. We analyze this by creating "city and province" dummy variables to distinguish treatment from control groups, and "time" dummy variables to compare pre- and post-CETS periods. The interaction of these two variables serves as the core explanatory variable.</w:t>
      </w:r>
    </w:p>
    <w:p w14:paraId="328CC5F4" w14:textId="77777777" w:rsidR="008061A3" w:rsidRPr="007F6C04" w:rsidRDefault="008061A3" w:rsidP="008061A3">
      <w:pPr>
        <w:pStyle w:val="Heading4Paragraph"/>
      </w:pPr>
      <w:r w:rsidRPr="007F6C04">
        <w:t xml:space="preserve">3.1.1.3 Channel variables </w:t>
      </w:r>
    </w:p>
    <w:p w14:paraId="5D92DDA8" w14:textId="77777777" w:rsidR="008061A3" w:rsidRPr="00834276" w:rsidRDefault="008061A3" w:rsidP="008061A3">
      <w:pPr>
        <w:pStyle w:val="Heading5"/>
        <w:rPr>
          <w:color w:val="auto"/>
        </w:rPr>
      </w:pPr>
      <w:r w:rsidRPr="00834276">
        <w:rPr>
          <w:color w:val="auto"/>
        </w:rPr>
        <w:t>3.1.1.3.1 Mediator Variables</w:t>
      </w:r>
    </w:p>
    <w:p w14:paraId="664E62D3" w14:textId="442014EE" w:rsidR="008061A3" w:rsidRPr="00046F57" w:rsidRDefault="008061A3" w:rsidP="008061A3">
      <w:pPr>
        <w:pStyle w:val="Paragraph"/>
        <w:jc w:val="both"/>
        <w:rPr>
          <w:rFonts w:eastAsia="STIX-Regular"/>
        </w:rPr>
      </w:pPr>
      <w:r w:rsidRPr="007F6C04">
        <w:rPr>
          <w:rFonts w:eastAsia="STIX-Regular"/>
        </w:rPr>
        <w:t xml:space="preserve">    </w:t>
      </w:r>
      <w:r w:rsidRPr="00046F57">
        <w:rPr>
          <w:rFonts w:eastAsia="STIX-Regular"/>
        </w:rPr>
        <w:t xml:space="preserve">To examine the mechanisms underlying the impact of CETS on </w:t>
      </w:r>
      <w:r w:rsidR="00551707">
        <w:rPr>
          <w:rFonts w:eastAsia="STIX-Regular"/>
        </w:rPr>
        <w:t>TF</w:t>
      </w:r>
      <w:r w:rsidRPr="00046F57">
        <w:rPr>
          <w:rFonts w:eastAsia="STIX-Regular"/>
        </w:rPr>
        <w:t xml:space="preserve">PGE, we hypothesize that </w:t>
      </w:r>
      <w:r w:rsidRPr="00046F57">
        <w:rPr>
          <w:rFonts w:eastAsia="STIX-Regular"/>
        </w:rPr>
        <w:lastRenderedPageBreak/>
        <w:t xml:space="preserve">environmental resource commitment (ERC) and clean combustion technology innovation (CCTI) serve as two pathways. </w:t>
      </w:r>
    </w:p>
    <w:p w14:paraId="68322EF6" w14:textId="77777777" w:rsidR="008061A3" w:rsidRPr="00046F57" w:rsidRDefault="008061A3" w:rsidP="008061A3">
      <w:pPr>
        <w:pStyle w:val="Newparagraph"/>
        <w:rPr>
          <w:rFonts w:eastAsia="CMR12"/>
        </w:rPr>
      </w:pPr>
      <w:r w:rsidRPr="00046F57">
        <w:rPr>
          <w:rFonts w:eastAsia="CMR12"/>
          <w:i/>
          <w:iCs/>
        </w:rPr>
        <w:t>Environmental resource commitment level at the regional level</w:t>
      </w:r>
      <w:r w:rsidRPr="00046F57">
        <w:rPr>
          <w:rFonts w:eastAsia="CMR12"/>
        </w:rPr>
        <w:t xml:space="preserve"> (ERC). Referring to the study of </w:t>
      </w:r>
      <w:r w:rsidRPr="00046F57">
        <w:rPr>
          <w:rFonts w:eastAsia="CMR12"/>
        </w:rPr>
        <w:fldChar w:fldCharType="begin"/>
      </w:r>
      <w:r w:rsidRPr="00046F57">
        <w:rPr>
          <w:rFonts w:eastAsia="CMR12"/>
        </w:rPr>
        <w:instrText xml:space="preserve"> ADDIN ZOTERO_ITEM CSL_CITATION {"citationID":"rtEVBbjL","properties":{"formattedCitation":"(Cho et al., 2023)","plainCitation":"(Cho et al., 2023)","noteIndex":0},"citationItems":[{"id":809,"uris":["http://zotero.org/users/local/wH06Ygim/items/VTGSMK7A"],"itemData":{"id":809,"type":"article-journal","abstract":"Local governments are leading sustainability efforts through a range of initiatives, often voluntarily. While a spate of research exists to explain what drives these voluntary decisions, we are still limited in understanding how localities follow through with the resources to implement their adopted plans. This is particularly the case for environment and climate protection programs that are transboundary in nature and thus require more innovative and longer-term approaches than those that are relatively low-cost and easier to implement with future savings. This research examines local investment in promoting three of these program areas: air quality, biodiversity preservation, and ecological restoration. It investigates how local governments vary according to resource commitment and what factors explain those variations. We find several factors significant, including community capacity, political ideology, and institutional arrangements for service production and delivery. Variations are, however, found across different types of resource commitment, suggesting a more complex picture of local resource availability for advancing sustainability efforts.","container-title":"Urban Affairs Review","DOI":"10.1177/10780874211064976","ISSN":"1078-0874, 1552-8332","issue":"2","journalAbbreviation":"Urban Affairs Review","language":"en","page":"447-475","source":"DOI.org (Crossref)","title":"Local Government's Resource Commitment to Environmental Sustainability: Capacity, Conservatism, and Contractual Dynamics","title-short":"Local Government's Resource Commitment to Environmental Sustainability","volume":"59","author":[{"family":"Cho","given":"Wonhyuk"},{"family":"Kim","given":"Daewook"},{"family":"Y. S. Park","given":"Angela"}],"issued":{"date-parts":[["2023",3]]}}}],"schema":"https://github.com/citation-style-language/schema/raw/master/csl-citation.json"} </w:instrText>
      </w:r>
      <w:r w:rsidRPr="00046F57">
        <w:rPr>
          <w:rFonts w:eastAsia="CMR12"/>
        </w:rPr>
        <w:fldChar w:fldCharType="separate"/>
      </w:r>
      <w:r w:rsidRPr="00046F57">
        <w:rPr>
          <w:rFonts w:eastAsia="CMR12"/>
        </w:rPr>
        <w:t>(Cho et al., 2023)</w:t>
      </w:r>
      <w:r w:rsidRPr="00046F57">
        <w:rPr>
          <w:rFonts w:eastAsia="CMR12"/>
        </w:rPr>
        <w:fldChar w:fldCharType="end"/>
      </w:r>
      <w:r w:rsidRPr="00046F57">
        <w:rPr>
          <w:rFonts w:eastAsia="CMR12"/>
        </w:rPr>
        <w:t xml:space="preserve">, the environmental resource commitment at the local level is measured using the ratio of fiscal expenditure on environmental protection. </w:t>
      </w:r>
    </w:p>
    <w:p w14:paraId="68408C4D" w14:textId="77777777" w:rsidR="008061A3" w:rsidRDefault="008061A3" w:rsidP="008061A3">
      <w:pPr>
        <w:pStyle w:val="Newparagraph"/>
        <w:jc w:val="both"/>
        <w:rPr>
          <w:shd w:val="clear" w:color="auto" w:fill="FFFFFF"/>
        </w:rPr>
      </w:pPr>
      <w:r w:rsidRPr="00046F57">
        <w:rPr>
          <w:rFonts w:eastAsia="CMR12"/>
        </w:rPr>
        <w:t xml:space="preserve">    </w:t>
      </w:r>
      <w:r w:rsidRPr="00046F57">
        <w:rPr>
          <w:rFonts w:eastAsia="CMR12"/>
          <w:i/>
          <w:iCs/>
        </w:rPr>
        <w:t>Clean combustion technology innovation</w:t>
      </w:r>
      <w:r w:rsidRPr="00046F57">
        <w:rPr>
          <w:rFonts w:eastAsia="CMR12"/>
        </w:rPr>
        <w:t xml:space="preserve"> (CCTI). </w:t>
      </w:r>
      <w:r w:rsidRPr="00046F57">
        <w:rPr>
          <w:shd w:val="clear" w:color="auto" w:fill="FFFFFF"/>
        </w:rPr>
        <w:t xml:space="preserve">Following </w:t>
      </w:r>
      <w:r w:rsidRPr="00046F57">
        <w:rPr>
          <w:rFonts w:eastAsia="CMR12"/>
        </w:rPr>
        <w:fldChar w:fldCharType="begin"/>
      </w:r>
      <w:r w:rsidRPr="00046F57">
        <w:rPr>
          <w:rFonts w:eastAsia="CMR12"/>
        </w:rPr>
        <w:instrText xml:space="preserve"> ADDIN ZOTERO_ITEM CSL_CITATION {"citationID":"9XM4PlR0","properties":{"formattedCitation":"(He et al., 2023; Ou et al., 2024)","plainCitation":"(He et al., 2023; Ou et al., 2024)","noteIndex":0},"citationItems":[{"id":366,"uris":["http://zotero.org/users/local/wH06Ygim/items/ECFZY6DG"],"itemData":{"id":366,"type":"chapter","container-title":"Handbook of Air Quality and Climate Change","event-place":"Singapore","ISBN":"9789811525278","language":"en","note":"DOI: 10.1007/978-981-15-2527-8_41-1","page":"1-32","publisher":"Springer Nature Singapore","publisher-place":"Singapore","source":"DOI.org (Crossref)","title":"Clean Coal Technologies: Transition to a Low Emission Future","title-short":"Clean Coal Technologies","URL":"https://link.springer.com/10.1007/978-981-15-2527-8_41-1","editor":[{"family":"Akimoto","given":"Hajime"},{"family":"Tanimoto","given":"Hiroshi"}],"author":[{"family":"He","given":"Chenmin"},{"family":"Xiang","given":"Pianpian"},{"family":"Jiang","given":"Kejun"}],"accessed":{"date-parts":[["2024",6,19]]},"issued":{"date-parts":[["2023"]]}}},{"id":784,"uris":["http://zotero.org/users/local/wH06Ygim/items/HIFZEIQ2"],"itemData":{"id":784,"type":"article-journal","abstract":"The transformation of Chinese coal power firms is crucial for achieving carbon emission reduction (CER) goals, and promoting green technology innovation (GTI) is the key for the achievement. To examine the interactive mechanism of central and local government regulatory behavior and coal power firms’ GTI behavior under China’s dual-regulatory system, this paper introduces environmental impact coefficients and develops a tripartite evolutionary game model (EGM) from the perspective of CER. The influencing factors and interactive relationships among them are analyzed. Additionally, through numerical simulation, the impacts of changes in central and local government S&amp;P (subsidies and penalties) on the evolution of the system are also obtained. The findings indicate the following: (1) Enhancing the initial willingness can accelerate the system’s attainment of an optimal state. The local government exhibits a slower pace of evolution. Coal power firms are more sensitive to changes in the initial willingness of the central government. (2) The local government is more sensitive to changes in the central government’s S&amp;P intensity rather than changes in the central government’s initial willingness. Low levels of central government S&amp;P and high penalties are ineffective, while high subsidies can lead to a sudden decrease in the local government’s willingness. (3) Local government penalties have a positive correlation with their effectiveness in promoting GTI, whereas high subsidies are ineffective. (4) The separate implementation of subsidies or penalties by either the central or the local government is detrimental to achieving the optimal state. Such an approach renders the fluctuant or negative behavior of the local government and coal power firms.","container-title":"Energies","DOI":"10.3390/en17030607","ISSN":"1996-1073","issue":"3","journalAbbreviation":"Energies","language":"en","license":"https://creativecommons.org/licenses/by/4.0/","page":"607","source":"DOI.org (Crossref)","title":"An Evolutionary Game Study on Green Technology Innovation of Coal Power Firms under the Dual-Regulatory System","volume":"17","author":[{"family":"Ou","given":"Kai"},{"family":"Shi","given":"Yu"},{"family":"Zhou","given":"Wenwen"}],"issued":{"date-parts":[["2024",1,26]]}}}],"schema":"https://github.com/citation-style-language/schema/raw/master/csl-citation.json"} </w:instrText>
      </w:r>
      <w:r w:rsidRPr="00046F57">
        <w:rPr>
          <w:rFonts w:eastAsia="CMR12"/>
        </w:rPr>
        <w:fldChar w:fldCharType="separate"/>
      </w:r>
      <w:r w:rsidRPr="00046F57">
        <w:rPr>
          <w:rFonts w:eastAsia="CMR12"/>
        </w:rPr>
        <w:t>(He et al., 2023; Ou et al., 2024)</w:t>
      </w:r>
      <w:r w:rsidRPr="00046F57">
        <w:rPr>
          <w:rFonts w:eastAsia="CMR12"/>
        </w:rPr>
        <w:fldChar w:fldCharType="end"/>
      </w:r>
      <w:r w:rsidRPr="00046F57">
        <w:rPr>
          <w:rFonts w:eastAsia="CMR12"/>
        </w:rPr>
        <w:t xml:space="preserve">, </w:t>
      </w:r>
      <w:r w:rsidRPr="00046F57">
        <w:rPr>
          <w:shd w:val="clear" w:color="auto" w:fill="FFFFFF"/>
        </w:rPr>
        <w:t xml:space="preserve">this study measures green technological innovation in the coal-fired power industry using efficient and clean combustion technology patent applications. Patents reflect innovation quality and impact </w:t>
      </w:r>
      <w:r w:rsidRPr="00046F57">
        <w:rPr>
          <w:rFonts w:eastAsia="CMR12"/>
        </w:rPr>
        <w:fldChar w:fldCharType="begin"/>
      </w:r>
      <w:r w:rsidRPr="00046F57">
        <w:rPr>
          <w:rFonts w:eastAsia="CMR12"/>
        </w:rPr>
        <w:instrText xml:space="preserve"> ADDIN ZOTERO_ITEM CSL_CITATION {"citationID":"baexx1On","properties":{"formattedCitation":"(Zhao, 2023)","plainCitation":"(Zhao, 2023)","noteIndex":0},"citationItems":[{"id":511,"uris":["http://zotero.org/users/local/wH06Ygim/items/S7F5JJJI"],"itemData":{"id":511,"type":"article-journal","container-title":"Journal of Cleaner Production","DOI":"10.1016/j.jclepro.2023.139507","ISSN":"09596526","journalAbbreviation":"Journal of Cleaner Production","language":"en","page":"139507","source":"DOI.org (Crossref)","title":"Is low-carbon energy technology a catalyst for driving green total factor productivity development? The case of China","title-short":"Is low-carbon energy technology a catalyst for driving green total factor productivity development?","volume":"428","author":[{"family":"Zhao","given":"Congyu"}],"issued":{"date-parts":[["2023",11]]}}}],"schema":"https://github.com/citation-style-language/schema/raw/master/csl-citation.json"} </w:instrText>
      </w:r>
      <w:r w:rsidRPr="00046F57">
        <w:rPr>
          <w:rFonts w:eastAsia="CMR12"/>
        </w:rPr>
        <w:fldChar w:fldCharType="separate"/>
      </w:r>
      <w:r w:rsidRPr="00046F57">
        <w:rPr>
          <w:rFonts w:eastAsia="CMR12"/>
        </w:rPr>
        <w:t>(Zhao, 2023)</w:t>
      </w:r>
      <w:r w:rsidRPr="00046F57">
        <w:rPr>
          <w:rFonts w:eastAsia="CMR12"/>
        </w:rPr>
        <w:fldChar w:fldCharType="end"/>
      </w:r>
      <w:r w:rsidRPr="00046F57">
        <w:rPr>
          <w:shd w:val="clear" w:color="auto" w:fill="FFFFFF"/>
        </w:rPr>
        <w:t xml:space="preserve">, identified via the International Patent Classification Green Inventory (WIPO, 2010) </w:t>
      </w:r>
      <w:r w:rsidRPr="00046F57">
        <w:rPr>
          <w:shd w:val="clear" w:color="auto" w:fill="FFFFFF"/>
        </w:rPr>
        <w:fldChar w:fldCharType="begin"/>
      </w:r>
      <w:r w:rsidRPr="00046F57">
        <w:rPr>
          <w:shd w:val="clear" w:color="auto" w:fill="FFFFFF"/>
        </w:rPr>
        <w:instrText xml:space="preserve"> ADDIN ZOTERO_ITEM CSL_CITATION {"citationID":"j7pQ6zwf","properties":{"formattedCitation":"(Hossain et al., 2024)","plainCitation":"(Hossain et al., 2024)","noteIndex":0},"citationItems":[{"id":594,"uris":["http://zotero.org/users/local/wH06Ygim/items/FH87LAHE"],"itemData":{"id":594,"type":"article-journal","container-title":"Energy Economics","DOI":"10.1016/j.eneco.2024.107736","ISSN":"01409883","journalAbbreviation":"Energy Economics","language":"en","page":"107736","source":"DOI.org (Crossref)","title":"Empowering energy transition: Green innovation, digital finance, and the path to sustainable prosperity through green finance initiatives","title-short":"Empowering energy transition","volume":"136","author":[{"family":"Hossain","given":"Mohammad Razib"},{"family":"Rao","given":"Amar"},{"family":"Sharma","given":"Gagan Deep"},{"family":"Dev","given":"Dhairya"},{"family":"Kharbanda","given":"Aeshna"}],"issued":{"date-parts":[["2024",8]]}}}],"schema":"https://github.com/citation-style-language/schema/raw/master/csl-citation.json"} </w:instrText>
      </w:r>
      <w:r w:rsidRPr="00046F57">
        <w:rPr>
          <w:shd w:val="clear" w:color="auto" w:fill="FFFFFF"/>
        </w:rPr>
        <w:fldChar w:fldCharType="separate"/>
      </w:r>
      <w:r w:rsidRPr="00046F57">
        <w:t>(Hossain et al., 2024)</w:t>
      </w:r>
      <w:r w:rsidRPr="00046F57">
        <w:rPr>
          <w:shd w:val="clear" w:color="auto" w:fill="FFFFFF"/>
        </w:rPr>
        <w:fldChar w:fldCharType="end"/>
      </w:r>
      <w:r w:rsidRPr="00046F57">
        <w:rPr>
          <w:shd w:val="clear" w:color="auto" w:fill="FFFFFF"/>
        </w:rPr>
        <w:t xml:space="preserve">. Since patent approvals can lag, they may not capture current innovation </w:t>
      </w:r>
      <w:r w:rsidRPr="00046F57">
        <w:rPr>
          <w:rFonts w:eastAsia="CMR12"/>
        </w:rPr>
        <w:fldChar w:fldCharType="begin"/>
      </w:r>
      <w:r w:rsidRPr="00046F57">
        <w:rPr>
          <w:rFonts w:eastAsia="CMR12"/>
        </w:rPr>
        <w:instrText xml:space="preserve"> ADDIN ZOTERO_ITEM CSL_CITATION {"citationID":"SAf4mhyO","properties":{"formattedCitation":"(Q. Wu et al., 2023; Xiaobao et al., 2024)","plainCitation":"(Q. Wu et al., 2023; Xiaobao et al., 2024)","noteIndex":0},"citationItems":[{"id":383,"uris":["http://zotero.org/users/local/wH06Ygim/items/NXKM3GBH"],"itemData":{"id":383,"type":"article-journal","container-title":"Energy Policy","DOI":"10.1016/j.enpol.2023.113524","ISSN":"03014215","journalAbbreviation":"Energy Policy","language":"en","page":"113524","source":"DOI.org (Crossref)","title":"How carbon emission prices accelerate net zero: Evidence from China's coal-fired power plants","title-short":"How carbon emission prices accelerate net zero","volume":"177","author":[{"family":"Wu","given":"Qingyang"},{"family":"Tan","given":"Chang"},{"family":"Wang","given":"Daoping"},{"family":"Wu","given":"Yongtao"},{"family":"Meng","given":"Jing"},{"family":"Zheng","given":"Heran"}],"issued":{"date-parts":[["2023",6]]}}},{"id":202,"uris":["http://zotero.org/users/local/wH06Ygim/items/3EXDW9P8"],"itemData":{"id":202,"type":"article-journal","abstract":"Abstract\n            Green and low carbon transition is a broad and profound economic and social systematic change. Green innovation is a critical way to promote energy saving and emission reduction. Has China continuously promoted a carbon emission trading policy to significantly promote green innovation cooperation? Taking the implementation of the carbon emission trading pilot policy as a “quasi-natural experiment,” this study answers this question by exploring the impact of the policy on green innovation cooperation. Based on data on 274 cities from 2008 to 2020, the multi-time difference-in-differences model is used to evaluate the impact of the policy on green innovation cooperation. The results reveal that the carbon emission trading pilot policy significantly improved inter- and intra-city green innovation cooperation through the upgrading effect of industrial structure and the coverage effect of digital finance compared with the non-pilot cities at the city level. In addition, there are significant differences in the policy effects among cities with different degrees of openness to the outside world and command-and-control environmental regulation.","container-title":"Financial Innovation","DOI":"10.1186/s40854-023-00556-5","ISSN":"2199-4730","issue":"1","journalAbbreviation":"Financ Innov","language":"en","page":"14","source":"DOI.org (Crossref)","title":"Does the carbon emission trading pilot policy promote green innovation cooperation? Evidence from a quasi-natural experiment in China","title-short":"Does the carbon emission trading pilot policy promote green innovation cooperation?","volume":"10","author":[{"family":"Xiaobao","given":"Peng"},{"family":"Jian","given":"Wu"},{"family":"Yuhui","given":"Chen"},{"family":"Ali","given":"Sumran"},{"family":"Qijun","given":"Xie"}],"issued":{"date-parts":[["2024",1,11]]}}}],"schema":"https://github.com/citation-style-language/schema/raw/master/csl-citation.json"} </w:instrText>
      </w:r>
      <w:r w:rsidRPr="00046F57">
        <w:rPr>
          <w:rFonts w:eastAsia="CMR12"/>
        </w:rPr>
        <w:fldChar w:fldCharType="separate"/>
      </w:r>
      <w:r w:rsidRPr="00046F57">
        <w:rPr>
          <w:rFonts w:eastAsia="CMR12"/>
        </w:rPr>
        <w:t>(Q. Wu et al., 2023; Xiaobao et al., 2024)</w:t>
      </w:r>
      <w:r w:rsidRPr="00046F57">
        <w:rPr>
          <w:rFonts w:eastAsia="CMR12"/>
        </w:rPr>
        <w:fldChar w:fldCharType="end"/>
      </w:r>
      <w:r w:rsidRPr="00046F57">
        <w:rPr>
          <w:shd w:val="clear" w:color="auto" w:fill="FFFFFF"/>
        </w:rPr>
        <w:t xml:space="preserve">. We use the CPC Y02E20 classification, part of the Y02 scheme by EPO and USPTO (2013), to count provincial patents on low-emission combustion technologies, crucial for power generation </w:t>
      </w:r>
      <w:r w:rsidRPr="00046F57">
        <w:rPr>
          <w:shd w:val="clear" w:color="auto" w:fill="FFFFFF"/>
        </w:rPr>
        <w:fldChar w:fldCharType="begin"/>
      </w:r>
      <w:r w:rsidRPr="00046F57">
        <w:rPr>
          <w:shd w:val="clear" w:color="auto" w:fill="FFFFFF"/>
        </w:rPr>
        <w:instrText xml:space="preserve"> ADDIN ZOTERO_ITEM CSL_CITATION {"citationID":"se50oun4","properties":{"formattedCitation":"(Acemoglu et al., 2023)","plainCitation":"(Acemoglu et al., 2023)","noteIndex":0},"citationItems":[{"id":802,"uris":["http://zotero.org/users/local/wH06Ygim/items/MSRMC6R8"],"itemData":{"id":802,"type":"report","event-place":"Cambridge, MA","language":"en","note":"DOI: 10.3386/w31657","number":"w31657","page":"w31657","publisher":"National Bureau of Economic Research","publisher-place":"Cambridge, MA","source":"DOI.org (Crossref)","title":"Climate Change, Directed Innovation, and Energy Transition: The Long-run Consequences of the Shale Gas Revolution","title-short":"Climate Change, Directed Innovation, and Energy Transition","URL":"http://www.nber.org/papers/w31657.pdf","author":[{"family":"Acemoglu","given":"Daron"},{"family":"Aghion","given":"Philippe"},{"family":"Barrage","given":"Lint"},{"family":"Hémous","given":"David"}],"accessed":{"date-parts":[["2025",4,4]]},"issued":{"date-parts":[["2023",9]]}}}],"schema":"https://github.com/citation-style-language/schema/raw/master/csl-citation.json"} </w:instrText>
      </w:r>
      <w:r w:rsidRPr="00046F57">
        <w:rPr>
          <w:shd w:val="clear" w:color="auto" w:fill="FFFFFF"/>
        </w:rPr>
        <w:fldChar w:fldCharType="separate"/>
      </w:r>
      <w:r w:rsidRPr="00046F57">
        <w:t>(Acemoglu et al., 2023)</w:t>
      </w:r>
      <w:r w:rsidRPr="00046F57">
        <w:rPr>
          <w:shd w:val="clear" w:color="auto" w:fill="FFFFFF"/>
        </w:rPr>
        <w:fldChar w:fldCharType="end"/>
      </w:r>
      <w:r w:rsidRPr="00046F57">
        <w:rPr>
          <w:shd w:val="clear" w:color="auto" w:fill="FFFFFF"/>
        </w:rPr>
        <w:t xml:space="preserve">. Y02E20, under Y02E, targets emission reductions in energy, alongside categories like renewables (Y02E10). </w:t>
      </w:r>
    </w:p>
    <w:p w14:paraId="34AD060A" w14:textId="77777777" w:rsidR="003D0A73" w:rsidRPr="00046F57" w:rsidRDefault="003D0A73" w:rsidP="008061A3">
      <w:pPr>
        <w:pStyle w:val="Newparagraph"/>
        <w:jc w:val="both"/>
        <w:rPr>
          <w:shd w:val="clear" w:color="auto" w:fill="FFFFFF"/>
        </w:rPr>
      </w:pPr>
    </w:p>
    <w:p w14:paraId="08BB151E" w14:textId="77777777" w:rsidR="008061A3" w:rsidRPr="00834276" w:rsidRDefault="008061A3" w:rsidP="008061A3">
      <w:pPr>
        <w:pStyle w:val="Heading5"/>
        <w:rPr>
          <w:color w:val="auto"/>
        </w:rPr>
      </w:pPr>
      <w:r w:rsidRPr="00834276">
        <w:rPr>
          <w:color w:val="auto"/>
        </w:rPr>
        <w:t>3.1.1.3.2 Moderator effect</w:t>
      </w:r>
    </w:p>
    <w:p w14:paraId="0C25C9C9" w14:textId="77777777" w:rsidR="008061A3" w:rsidRPr="00046F57" w:rsidRDefault="008061A3" w:rsidP="008061A3">
      <w:pPr>
        <w:pStyle w:val="Paragraph"/>
        <w:jc w:val="both"/>
        <w:rPr>
          <w:shd w:val="clear" w:color="auto" w:fill="FFFFFF"/>
        </w:rPr>
      </w:pPr>
      <w:r w:rsidRPr="00046F57">
        <w:rPr>
          <w:rFonts w:eastAsia="MyriadPro-SemiboldSemiCn"/>
          <w14:ligatures w14:val="standardContextual"/>
        </w:rPr>
        <w:t xml:space="preserve">    </w:t>
      </w:r>
      <w:r w:rsidRPr="00046F57">
        <w:rPr>
          <w:rFonts w:eastAsia="STIX-Regular"/>
          <w14:ligatures w14:val="standardContextual"/>
        </w:rPr>
        <w:t>To examine the moderation effect in the relationship between CETS and TFPGE</w:t>
      </w:r>
      <w:r w:rsidRPr="00046F57">
        <w:rPr>
          <w:shd w:val="clear" w:color="auto" w:fill="FFFFFF"/>
        </w:rPr>
        <w:t xml:space="preserve">, we hypothesize that Energy Structure Upgrading (Str) moderates the relationship between CETS and TFPGE, enhancing CETS’s effectiveness in improving PGE. Following </w:t>
      </w:r>
      <w:r w:rsidRPr="00046F57">
        <w:rPr>
          <w:shd w:val="clear" w:color="auto" w:fill="FFFFFF"/>
        </w:rPr>
        <w:fldChar w:fldCharType="begin"/>
      </w:r>
      <w:r w:rsidRPr="00046F57">
        <w:rPr>
          <w:shd w:val="clear" w:color="auto" w:fill="FFFFFF"/>
        </w:rPr>
        <w:instrText xml:space="preserve"> ADDIN ZOTERO_ITEM CSL_CITATION {"citationID":"tUdMAGtg","properties":{"formattedCitation":"(X. Meng &amp; Yu, 2023)","plainCitation":"(X. Meng &amp; Yu, 2023)","noteIndex":0},"citationItems":[{"id":244,"uris":["http://zotero.org/users/local/wH06Ygim/items/ZZEU9KAZ"],"itemData":{"id":244,"type":"article-journal","container-title":"Energy Policy","DOI":"10.1016/j.enpol.2023.113461","ISSN":"03014215","journalAbbreviation":"Energy Policy","language":"en","page":"113461","source":"DOI.org (Crossref)","title":"Can renewable energy portfolio standards and carbon tax policies promote carbon emission reduction in China's power industry?","volume":"174","author":[{"family":"Meng","given":"Xin"},{"family":"Yu","given":"Yanni"}],"issued":{"date-parts":[["2023",3]]}}}],"schema":"https://github.com/citation-style-language/schema/raw/master/csl-citation.json"} </w:instrText>
      </w:r>
      <w:r w:rsidRPr="00046F57">
        <w:rPr>
          <w:shd w:val="clear" w:color="auto" w:fill="FFFFFF"/>
        </w:rPr>
        <w:fldChar w:fldCharType="separate"/>
      </w:r>
      <w:r w:rsidRPr="00046F57">
        <w:t>(X. Meng &amp; Yu, 2023)</w:t>
      </w:r>
      <w:r w:rsidRPr="00046F57">
        <w:rPr>
          <w:shd w:val="clear" w:color="auto" w:fill="FFFFFF"/>
        </w:rPr>
        <w:fldChar w:fldCharType="end"/>
      </w:r>
      <w:r w:rsidRPr="00046F57">
        <w:rPr>
          <w:shd w:val="clear" w:color="auto" w:fill="FFFFFF"/>
        </w:rPr>
        <w:t xml:space="preserve">, we measure Str in the energy sector as the ratio of renewable energy generation to total energy generation. A higher ratio reflects a shift from fossil fuel dominance to renewables, reducing fossil fuel intensity and promoting sustainable economic development. </w:t>
      </w:r>
    </w:p>
    <w:p w14:paraId="20BAEC1A" w14:textId="77777777" w:rsidR="008061A3" w:rsidRPr="00834276" w:rsidRDefault="008061A3" w:rsidP="008061A3">
      <w:pPr>
        <w:pStyle w:val="Newparagraph"/>
        <w:rPr>
          <w:rFonts w:eastAsia="CMR12"/>
        </w:rPr>
      </w:pPr>
    </w:p>
    <w:p w14:paraId="3E00713F" w14:textId="77777777" w:rsidR="008061A3" w:rsidRPr="00834276" w:rsidRDefault="008061A3" w:rsidP="008061A3">
      <w:pPr>
        <w:pStyle w:val="Heading5"/>
        <w:rPr>
          <w:color w:val="auto"/>
        </w:rPr>
      </w:pPr>
      <w:r w:rsidRPr="00834276">
        <w:rPr>
          <w:color w:val="auto"/>
        </w:rPr>
        <w:lastRenderedPageBreak/>
        <w:t>3.1.1.3.3 Control Variables</w:t>
      </w:r>
    </w:p>
    <w:p w14:paraId="267AC2E3" w14:textId="30E87176" w:rsidR="00E46CC7" w:rsidRPr="00E46CC7" w:rsidRDefault="008061A3" w:rsidP="00E46CC7">
      <w:pPr>
        <w:pStyle w:val="TableofFigures"/>
        <w:tabs>
          <w:tab w:val="right" w:leader="dot" w:pos="9350"/>
        </w:tabs>
        <w:jc w:val="both"/>
        <w:rPr>
          <w:rFonts w:asciiTheme="minorHAnsi" w:eastAsiaTheme="minorEastAsia" w:hAnsiTheme="minorHAnsi" w:cstheme="minorBidi"/>
          <w:noProof/>
          <w:kern w:val="2"/>
          <w:lang w:val="en-US" w:eastAsia="zh-CN"/>
          <w14:ligatures w14:val="standardContextual"/>
        </w:rPr>
      </w:pPr>
      <w:r w:rsidRPr="00046F57">
        <w:rPr>
          <w:rFonts w:ascii="STIX-Regular" w:eastAsia="STIX-Regular" w:hAnsiTheme="minorHAnsi" w:cs="STIX-Regular"/>
        </w:rPr>
        <w:t xml:space="preserve">   </w:t>
      </w:r>
      <w:bookmarkStart w:id="2" w:name="_Toc202190481"/>
      <w:r w:rsidRPr="00046F57">
        <w:rPr>
          <w:shd w:val="clear" w:color="auto" w:fill="FFFFFF"/>
        </w:rPr>
        <w:t xml:space="preserve">To address endogeneity, we account for several covariates typically included in earlier research </w:t>
      </w:r>
      <w:r w:rsidRPr="00046F57">
        <w:rPr>
          <w:rFonts w:eastAsia="STIX-Regular"/>
        </w:rPr>
        <w:fldChar w:fldCharType="begin"/>
      </w:r>
      <w:r w:rsidRPr="00046F57">
        <w:rPr>
          <w:rFonts w:eastAsia="STIX-Regular"/>
        </w:rPr>
        <w:instrText xml:space="preserve"> ADDIN ZOTERO_ITEM CSL_CITATION {"citationID":"qMdCN0eg","properties":{"formattedCitation":"(Feng et al., 2022; M. Meng et al., 2023; M. Meng &amp; Pang, 2023; Nakaishi et al., 2022; X. Wei &amp; Zhao, 2024; B.-C. Xie et al., 2021)","plainCitation":"(Feng et al., 2022; M. Meng et al., 2023; M. Meng &amp; Pang, 2023; Nakaishi et al., 2022; X. Wei &amp; Zhao, 2024; B.-C. Xie et al., 2021)","noteIndex":0},"citationItems":[{"id":798,"uris":["http://zotero.org/users/local/wH06Ygim/items/AS4EC7IQ"],"itemData":{"id":798,"type":"article-journal","abstract":"Coal-based thermal power generation has long been the main source of power generation in the mainland of China. The efficiency of power generation is an important factor that determines the energy conservation and emission reduction as well as the sustainable development of the power industry in China. By comparing the regional differences of 30 provinces in the mainland from 2013 to 2017, this study uses the Super-DDF model and the TFEE to comprehensively evaluate the energy efficiency of thermal power generation. Empirical results: Overall efficiency: eastern efficiency (1.181) is the highest, followed by western (0.956), central (0.951) and northeastern (0.926). Total factor energy efficiency: eastern efficiency (0.923) is the highest, followed by western (0.754), central (0.742) and northeastern (0.710). The government and power industry managers should fully consider the regional differences in the field of thermal power generation when formulating policies so as to improve the power efficiency and promote the green development of power industry in China. Based on the analysis results, although the coal-fired power industry is more mature than other alternative energy industries, the expansion of thermal power generation cannot be considered if CO2 emissions are to be reduced. Additionally, the market share and competitiveness of the local power industry can be increased based on the different conditions of the resource endowments of each region.","container-title":"Sustainability","DOI":"10.3390/su14010504","ISSN":"2071-1050","issue":"1","journalAbbreviation":"Sustainability","language":"en","license":"https://creativecommons.org/licenses/by/4.0/","page":"504","source":"DOI.org (Crossref)","title":"Total Factor Energy Efficiency of China’s Thermal Power Industry","volume":"14","author":[{"family":"Feng","given":"Ying"},{"family":"Lu","given":"Ching-Cheng"},{"family":"Lin","given":"I-Fang"},{"family":"Yang","given":"An-Chi"},{"family":"Lin","given":"Po-Chun"}],"issued":{"date-parts":[["2022",1,4]]}}},{"id":552,"uris":["http://zotero.org/users/local/wH06Ygim/items/VATM3Z5C"],"itemData":{"id":552,"type":"article-journal","container-title":"Energy Reports","DOI":"10.1016/j.egyr.2023.04.050","ISSN":"23524847","journalAbbreviation":"Energy Reports","language":"en","page":"5196-5205","source":"DOI.org (Crossref)","title":"Assessing the total factor productivity of China’s thermal power industry using a network DEA approach with cross-efficiency","volume":"9","author":[{"family":"Meng","given":"Ming"},{"family":"Pang","given":"Tingting"},{"family":"Li","given":"Xinxin"}],"issued":{"date-parts":[["2023",12]]}}},{"id":504,"uris":["http://zotero.org/users/local/wH06Ygim/items/4SUPPJ5U"],"itemData":{"id":504,"type":"article-journal","abstract":"Abstract\n            Thermal power is the main source of China's electricity supply. Improving total‐factor generation performance (TFGP) is essential for the development of this industry in the current deteriorating operating environment. This study adopts the meta‐frontier nonradial direction distance function approach to measure the static and dynamic TFGPs of the thermal power industry in China's 30 provinces in 2011–2019, and then discusses the regional distribution characteristics and the impact factors using spatial econometric model and Tobit regression method, respectively. Empirical results show that: (I) The TFGPs in central and west China are relatively close, but both are remarkably lower than that in east China. (II) The TFGPs in central and west China have generally remained stable since 2011, whereas that in west China has declined mainly because this region is more susceptible to the situation of electricity supply‐demand. (III) A significant spatial positive correlation exists among provincial TFGPs. High TFGP provinces are mostly in the eastern seaboard region and low TFGP provinces are in southwest China. (IV) Economic development, power structure, fuel prices, and environmental regulation have positive impacts on China's TFGP, while the impacts of technological innovation and energy endowment are not significant.","container-title":"Energy Science &amp; Engineering","DOI":"10.1002/ese3.1468","ISSN":"2050-0505, 2050-0505","issue":"7","journalAbbreviation":"Energy Science &amp; Engineering","language":"en","page":"2668-2685","source":"DOI.org (Crossref)","title":"Total‐factor generation performance analysis of China's thermal power industry using meta‐frontier nonradial distance function approach","volume":"11","author":[{"family":"Meng","given":"Ming"},{"family":"Pang","given":"Tingting"}],"issued":{"date-parts":[["2023",7]]}}},{"id":617,"uris":["http://zotero.org/users/local/wH06Ygim/items/EVT6XKPA"],"itemData":{"id":617,"type":"article-journal","container-title":"Clean Technologies and Environmental Policy","DOI":"10.1007/s10098-022-02310-4","ISSN":"1618-954X, 1618-9558","issue":"7","journalAbbreviation":"Clean Techn Environ Policy","language":"en","page":"2177-2192","source":"DOI.org (Crossref)","title":"Spatial autocorrelation analysis of the environmental efficiency of coal-fired power plants in China","volume":"24","author":[{"family":"Nakaishi","given":"Tomoaki"},{"family":"Nagashima","given":"Fumiya"},{"family":"Kagawa","given":"Shigemi"}],"issued":{"date-parts":[["2022",9]]}}},{"id":811,"uris":["http://zotero.org/users/local/wH06Ygim/items/6XSY4K8Y"],"itemData":{"id":811,"type":"article-journal","container-title":"Science of The Total Environment","DOI":"10.1016/j.scitotenv.2023.167851","ISSN":"00489697","journalAbbreviation":"Science of The Total Environment","language":"en","page":"167851","source":"DOI.org (Crossref)","title":"Evaluation and spatial convergence of carbon emission reduction efficiency in China's power industry: Based on a three-stage DEA model with game cross-efficiency","title-short":"Evaluation and spatial convergence of carbon emission reduction efficiency in China's power industry","volume":"906","author":[{"family":"Wei","given":"Xiaoxue"},{"family":"Zhao","given":"Rui"}],"issued":{"date-parts":[["2024",1]]}}},{"id":793,"uris":["http://zotero.org/users/local/wH06Ygim/items/2YZF65GI"],"itemData":{"id":793,"type":"article-journal","container-title":"Environmental Science and Pollution Research","DOI":"10.1007/s11356-020-10237-w","ISSN":"0944-1344, 1614-7499","issue":"2","journalAbbreviation":"Environ Sci Pollut Res","language":"en","page":"1697-1711","source":"DOI.org (Crossref)","title":"Dynamic environmental efficiency analysis of China’s power generation enterprises: a game cross-Malmquist index approach","title-short":"Dynamic environmental efficiency analysis of China’s power generation enterprises","volume":"28","author":[{"family":"Xie","given":"Bai-Chen"},{"family":"Chen","given":"Yun-Fei"},{"family":"Gao","given":"Jie"},{"family":"Zhang","given":"Shuang"}],"issued":{"date-parts":[["2021",1]]}}}],"schema":"https://github.com/citation-style-language/schema/raw/master/csl-citation.json"} </w:instrText>
      </w:r>
      <w:r w:rsidRPr="00046F57">
        <w:rPr>
          <w:rFonts w:eastAsia="STIX-Regular"/>
        </w:rPr>
        <w:fldChar w:fldCharType="separate"/>
      </w:r>
      <w:r w:rsidRPr="00046F57">
        <w:rPr>
          <w:rFonts w:eastAsia="STIX-Regular"/>
        </w:rPr>
        <w:t>(Feng et al., 2022; M. Meng et al., 2023; M. Meng &amp; Pang, 2023; Nakaishi et al., 2022; X. Wei &amp; Zhao, 2024; B.-C. Xie et al., 2021)</w:t>
      </w:r>
      <w:r w:rsidRPr="00046F57">
        <w:rPr>
          <w:rFonts w:eastAsia="STIX-Regular"/>
        </w:rPr>
        <w:fldChar w:fldCharType="end"/>
      </w:r>
      <w:r w:rsidRPr="00046F57">
        <w:rPr>
          <w:rFonts w:eastAsia="STIX-Regular"/>
        </w:rPr>
        <w:t xml:space="preserve">. Specifically, our control variables include: (1) </w:t>
      </w:r>
      <w:r w:rsidRPr="00046F57">
        <w:rPr>
          <w:rFonts w:eastAsia="STIX-Regular"/>
          <w:i/>
          <w:iCs/>
        </w:rPr>
        <w:t>Population density</w:t>
      </w:r>
      <w:r w:rsidRPr="00046F57">
        <w:rPr>
          <w:rFonts w:eastAsia="STIX-Regular"/>
        </w:rPr>
        <w:t xml:space="preserve"> (POPN), measured by the ratio of the total population at the end of the year to the land area of the administrative district. (2) </w:t>
      </w:r>
      <w:r w:rsidRPr="00046F57">
        <w:rPr>
          <w:rFonts w:eastAsia="STIX-Regular"/>
          <w:i/>
          <w:iCs/>
        </w:rPr>
        <w:t>Human capital</w:t>
      </w:r>
      <w:r w:rsidRPr="00046F57">
        <w:rPr>
          <w:rFonts w:eastAsia="STIX-Regular"/>
        </w:rPr>
        <w:t xml:space="preserve"> (Human.capital), calculated by the ratio of education expenditure to the population. (3) </w:t>
      </w:r>
      <w:r w:rsidRPr="00046F57">
        <w:rPr>
          <w:rFonts w:eastAsia="STIX-Regular"/>
          <w:i/>
          <w:iCs/>
        </w:rPr>
        <w:t>Economic growth</w:t>
      </w:r>
      <w:r w:rsidRPr="00046F57">
        <w:rPr>
          <w:rFonts w:eastAsia="STIX-Regular"/>
        </w:rPr>
        <w:t xml:space="preserve"> (GDPP), measured by provincial per capita GDP. (4) </w:t>
      </w:r>
      <w:r w:rsidRPr="00046F57">
        <w:rPr>
          <w:rFonts w:eastAsia="STIX-Regular"/>
          <w:i/>
          <w:iCs/>
        </w:rPr>
        <w:t>Foreign direct investment</w:t>
      </w:r>
      <w:r w:rsidRPr="00046F57">
        <w:rPr>
          <w:rFonts w:eastAsia="STIX-Regular"/>
        </w:rPr>
        <w:t xml:space="preserve"> (FDI), as measured by the ratio of actual used foreign capital to GDP. (5) </w:t>
      </w:r>
      <w:r w:rsidRPr="00046F57">
        <w:rPr>
          <w:rFonts w:eastAsia="STIX-Regular"/>
          <w:i/>
          <w:iCs/>
        </w:rPr>
        <w:t>Industrialization</w:t>
      </w:r>
      <w:r w:rsidRPr="00046F57">
        <w:rPr>
          <w:rFonts w:eastAsia="STIX-Regular"/>
        </w:rPr>
        <w:t xml:space="preserve"> (IS), measured by dividing the added value of the secondary industry by the GDP. </w:t>
      </w:r>
      <w:r w:rsidRPr="00046F57">
        <w:t xml:space="preserve">A higher ratio reflects greater dependence on the secondary industry for economic development, which typically results in higher energy consumption and increased carbon emissions </w:t>
      </w:r>
      <w:r w:rsidRPr="00046F57">
        <w:rPr>
          <w:shd w:val="clear" w:color="auto" w:fill="FFFFFF"/>
        </w:rPr>
        <w:fldChar w:fldCharType="begin"/>
      </w:r>
      <w:r w:rsidRPr="00046F57">
        <w:rPr>
          <w:shd w:val="clear" w:color="auto" w:fill="FFFFFF"/>
        </w:rPr>
        <w:instrText xml:space="preserve"> ADDIN ZOTERO_ITEM CSL_CITATION {"citationID":"hkBB2lr5","properties":{"formattedCitation":"(X. Wei &amp; Zhao, 2024)","plainCitation":"(X. Wei &amp; Zhao, 2024)","noteIndex":0},"citationItems":[{"id":811,"uris":["http://zotero.org/users/local/wH06Ygim/items/6XSY4K8Y"],"itemData":{"id":811,"type":"article-journal","container-title":"Science of The Total Environment","DOI":"10.1016/j.scitotenv.2023.167851","ISSN":"00489697","journalAbbreviation":"Science of The Total Environment","language":"en","page":"167851","source":"DOI.org (Crossref)","title":"Evaluation and spatial convergence of carbon emission reduction efficiency in China's power industry: Based on a three-stage DEA model with game cross-efficiency","title-short":"Evaluation and spatial convergence of carbon emission reduction efficiency in China's power industry","volume":"906","author":[{"family":"Wei","given":"Xiaoxue"},{"family":"Zhao","given":"Rui"}],"issued":{"date-parts":[["2024",1]]}}}],"schema":"https://github.com/citation-style-language/schema/raw/master/csl-citation.json"} </w:instrText>
      </w:r>
      <w:r w:rsidRPr="00046F57">
        <w:rPr>
          <w:shd w:val="clear" w:color="auto" w:fill="FFFFFF"/>
        </w:rPr>
        <w:fldChar w:fldCharType="separate"/>
      </w:r>
      <w:r w:rsidRPr="00046F57">
        <w:t>(X. Wei &amp; Zhao, 2024)</w:t>
      </w:r>
      <w:r w:rsidRPr="00046F57">
        <w:rPr>
          <w:shd w:val="clear" w:color="auto" w:fill="FFFFFF"/>
        </w:rPr>
        <w:fldChar w:fldCharType="end"/>
      </w:r>
      <w:r w:rsidRPr="00046F57">
        <w:rPr>
          <w:shd w:val="clear" w:color="auto" w:fill="FFFFFF"/>
        </w:rPr>
        <w:t xml:space="preserve">. (6) </w:t>
      </w:r>
      <w:r w:rsidRPr="00046F57">
        <w:rPr>
          <w:rFonts w:eastAsia="STIX-Regular"/>
          <w:i/>
          <w:iCs/>
        </w:rPr>
        <w:t>Electricity consumption</w:t>
      </w:r>
      <w:r w:rsidRPr="00046F57">
        <w:rPr>
          <w:rFonts w:eastAsia="STIX-Regular"/>
        </w:rPr>
        <w:t xml:space="preserve"> (EC), </w:t>
      </w:r>
      <w:r w:rsidRPr="00046F57">
        <w:rPr>
          <w:shd w:val="clear" w:color="auto" w:fill="FFFFFF"/>
        </w:rPr>
        <w:t xml:space="preserve">measured as the annual provincial electricity consumption in kilowatt-hours (KWH). </w:t>
      </w:r>
      <w:r w:rsidRPr="00046F57">
        <w:rPr>
          <w:rFonts w:eastAsia="WarnockPro-Regular"/>
        </w:rPr>
        <w:t>The control variables are treated in logarithms in the regression analysis.</w:t>
      </w:r>
      <w:r w:rsidRPr="00046F57">
        <w:rPr>
          <w:rFonts w:ascii="WarnockPro-Regular" w:eastAsia="WarnockPro-Regular" w:hAnsiTheme="minorHAnsi" w:cs="WarnockPro-Regular"/>
        </w:rPr>
        <w:t xml:space="preserve"> </w:t>
      </w:r>
      <w:hyperlink w:anchor="_Toc202190482" w:history="1">
        <w:r w:rsidR="00E46CC7" w:rsidRPr="00E46CC7">
          <w:rPr>
            <w:rStyle w:val="Hyperlink"/>
            <w:b/>
            <w:bCs/>
            <w:noProof/>
            <w:u w:val="none"/>
          </w:rPr>
          <w:t>Table 1</w:t>
        </w:r>
      </w:hyperlink>
      <w:r w:rsidR="00E46CC7">
        <w:rPr>
          <w:shd w:val="clear" w:color="auto" w:fill="FFFFFF"/>
        </w:rPr>
        <w:t xml:space="preserve"> </w:t>
      </w:r>
      <w:r w:rsidRPr="00046F57">
        <w:rPr>
          <w:shd w:val="clear" w:color="auto" w:fill="FFFFFF"/>
        </w:rPr>
        <w:t>shows the descriptive statistics for all variables.</w:t>
      </w:r>
      <w:r w:rsidRPr="00046F57">
        <w:rPr>
          <w:rFonts w:eastAsia="WarnockPro-Regular"/>
        </w:rPr>
        <w:t xml:space="preserve"> The average value of </w:t>
      </w:r>
      <w:r w:rsidR="008872DE">
        <w:rPr>
          <w:rFonts w:eastAsia="WarnockPro-Regular"/>
        </w:rPr>
        <w:t xml:space="preserve">TFPGE </w:t>
      </w:r>
      <w:r w:rsidRPr="00046F57">
        <w:rPr>
          <w:rFonts w:eastAsia="WarnockPro-Regular"/>
        </w:rPr>
        <w:t xml:space="preserve">is 0.9854 (Std. Dev. = 0.0331), ranging from 0.9137 to 1.0945, indicating moderate </w:t>
      </w:r>
      <w:r w:rsidR="008872DE">
        <w:rPr>
          <w:rFonts w:eastAsia="WarnockPro-Regular"/>
        </w:rPr>
        <w:t>eco-</w:t>
      </w:r>
      <w:r w:rsidRPr="00046F57">
        <w:rPr>
          <w:rFonts w:eastAsia="WarnockPro-Regular"/>
        </w:rPr>
        <w:t>efficiency.</w:t>
      </w:r>
      <w:bookmarkEnd w:id="2"/>
      <w:r w:rsidRPr="00046F57">
        <w:rPr>
          <w:rFonts w:eastAsia="WarnockPro-Regular"/>
        </w:rPr>
        <w:t xml:space="preserve"> </w:t>
      </w:r>
    </w:p>
    <w:p w14:paraId="0ED5D0D8" w14:textId="77777777" w:rsidR="008061A3" w:rsidRPr="0031513B" w:rsidRDefault="008061A3" w:rsidP="008061A3">
      <w:pPr>
        <w:pStyle w:val="Tabletitle"/>
        <w:rPr>
          <w:sz w:val="20"/>
          <w:szCs w:val="20"/>
        </w:rPr>
      </w:pPr>
      <w:bookmarkStart w:id="3" w:name="_Toc197416826"/>
      <w:bookmarkStart w:id="4" w:name="_Toc202190482"/>
      <w:r w:rsidRPr="00BF4901">
        <w:rPr>
          <w:b/>
          <w:bCs/>
          <w:sz w:val="20"/>
          <w:szCs w:val="20"/>
        </w:rPr>
        <w:t xml:space="preserve">Table </w:t>
      </w:r>
      <w:r w:rsidRPr="00BF4901">
        <w:rPr>
          <w:b/>
          <w:bCs/>
          <w:sz w:val="20"/>
          <w:szCs w:val="20"/>
        </w:rPr>
        <w:fldChar w:fldCharType="begin"/>
      </w:r>
      <w:r w:rsidRPr="00BF4901">
        <w:rPr>
          <w:b/>
          <w:bCs/>
          <w:sz w:val="20"/>
          <w:szCs w:val="20"/>
        </w:rPr>
        <w:instrText xml:space="preserve"> SEQ Table \* ARABIC </w:instrText>
      </w:r>
      <w:r w:rsidRPr="00BF4901">
        <w:rPr>
          <w:b/>
          <w:bCs/>
          <w:sz w:val="20"/>
          <w:szCs w:val="20"/>
        </w:rPr>
        <w:fldChar w:fldCharType="separate"/>
      </w:r>
      <w:r w:rsidRPr="00BF4901">
        <w:rPr>
          <w:b/>
          <w:bCs/>
          <w:noProof/>
          <w:sz w:val="20"/>
          <w:szCs w:val="20"/>
        </w:rPr>
        <w:t>1</w:t>
      </w:r>
      <w:r w:rsidRPr="00BF4901">
        <w:rPr>
          <w:b/>
          <w:bCs/>
          <w:sz w:val="20"/>
          <w:szCs w:val="20"/>
        </w:rPr>
        <w:fldChar w:fldCharType="end"/>
      </w:r>
      <w:r w:rsidRPr="0031513B">
        <w:rPr>
          <w:sz w:val="20"/>
          <w:szCs w:val="20"/>
        </w:rPr>
        <w:t>. Descriptive statistics of variables</w:t>
      </w:r>
      <w:bookmarkEnd w:id="3"/>
      <w:bookmarkEnd w:id="4"/>
    </w:p>
    <w:tbl>
      <w:tblPr>
        <w:tblStyle w:val="PlainTable2"/>
        <w:tblW w:w="0" w:type="auto"/>
        <w:tblLook w:val="04A0" w:firstRow="1" w:lastRow="0" w:firstColumn="1" w:lastColumn="0" w:noHBand="0" w:noVBand="1"/>
      </w:tblPr>
      <w:tblGrid>
        <w:gridCol w:w="2692"/>
        <w:gridCol w:w="1414"/>
        <w:gridCol w:w="992"/>
        <w:gridCol w:w="1560"/>
        <w:gridCol w:w="1059"/>
        <w:gridCol w:w="913"/>
      </w:tblGrid>
      <w:tr w:rsidR="008061A3" w:rsidRPr="0031513B" w14:paraId="7C63D79D" w14:textId="77777777" w:rsidTr="008F7D7C">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692" w:type="dxa"/>
            <w:tcBorders>
              <w:bottom w:val="single" w:sz="12" w:space="0" w:color="auto"/>
            </w:tcBorders>
            <w:noWrap/>
            <w:hideMark/>
          </w:tcPr>
          <w:p w14:paraId="3BB9B0DB" w14:textId="77777777" w:rsidR="008061A3" w:rsidRPr="0031513B" w:rsidRDefault="008061A3" w:rsidP="008F7D7C">
            <w:pPr>
              <w:autoSpaceDE w:val="0"/>
              <w:autoSpaceDN w:val="0"/>
              <w:adjustRightInd w:val="0"/>
              <w:rPr>
                <w:rFonts w:ascii="Times New Roman" w:hAnsi="Times New Roman" w:cs="Times New Roman"/>
                <w:b w:val="0"/>
                <w:bCs w:val="0"/>
                <w:sz w:val="20"/>
                <w:szCs w:val="20"/>
              </w:rPr>
            </w:pPr>
            <w:r w:rsidRPr="0031513B">
              <w:rPr>
                <w:rFonts w:ascii="Times New Roman" w:hAnsi="Times New Roman" w:cs="Times New Roman"/>
                <w:b w:val="0"/>
                <w:bCs w:val="0"/>
                <w:sz w:val="20"/>
                <w:szCs w:val="20"/>
              </w:rPr>
              <w:t>Variables</w:t>
            </w:r>
          </w:p>
        </w:tc>
        <w:tc>
          <w:tcPr>
            <w:tcW w:w="1414" w:type="dxa"/>
            <w:tcBorders>
              <w:bottom w:val="single" w:sz="12" w:space="0" w:color="auto"/>
            </w:tcBorders>
            <w:noWrap/>
            <w:hideMark/>
          </w:tcPr>
          <w:p w14:paraId="5DC298D9" w14:textId="77777777" w:rsidR="008061A3" w:rsidRPr="0031513B" w:rsidRDefault="008061A3" w:rsidP="008F7D7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rPr>
            </w:pPr>
            <w:r w:rsidRPr="0031513B">
              <w:rPr>
                <w:rFonts w:ascii="Times New Roman" w:hAnsi="Times New Roman" w:cs="Times New Roman"/>
                <w:b w:val="0"/>
                <w:bCs w:val="0"/>
                <w:sz w:val="20"/>
                <w:szCs w:val="20"/>
              </w:rPr>
              <w:t>Observation</w:t>
            </w:r>
          </w:p>
        </w:tc>
        <w:tc>
          <w:tcPr>
            <w:tcW w:w="992" w:type="dxa"/>
            <w:tcBorders>
              <w:bottom w:val="single" w:sz="12" w:space="0" w:color="auto"/>
            </w:tcBorders>
            <w:noWrap/>
            <w:hideMark/>
          </w:tcPr>
          <w:p w14:paraId="0D6EAE21" w14:textId="77777777" w:rsidR="008061A3" w:rsidRPr="0031513B" w:rsidRDefault="008061A3" w:rsidP="008F7D7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rPr>
            </w:pPr>
            <w:r w:rsidRPr="0031513B">
              <w:rPr>
                <w:rFonts w:ascii="Times New Roman" w:hAnsi="Times New Roman" w:cs="Times New Roman"/>
                <w:b w:val="0"/>
                <w:bCs w:val="0"/>
                <w:sz w:val="20"/>
                <w:szCs w:val="20"/>
              </w:rPr>
              <w:t>Mean</w:t>
            </w:r>
          </w:p>
        </w:tc>
        <w:tc>
          <w:tcPr>
            <w:tcW w:w="1560" w:type="dxa"/>
            <w:tcBorders>
              <w:bottom w:val="single" w:sz="12" w:space="0" w:color="auto"/>
            </w:tcBorders>
            <w:noWrap/>
            <w:hideMark/>
          </w:tcPr>
          <w:p w14:paraId="6A1ACDAD" w14:textId="1BB81FFB" w:rsidR="008061A3" w:rsidRPr="0031513B" w:rsidRDefault="008061A3" w:rsidP="008F7D7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rPr>
            </w:pPr>
            <w:r w:rsidRPr="0031513B">
              <w:rPr>
                <w:rFonts w:ascii="Times New Roman" w:hAnsi="Times New Roman" w:cs="Times New Roman"/>
                <w:b w:val="0"/>
                <w:bCs w:val="0"/>
                <w:sz w:val="20"/>
                <w:szCs w:val="20"/>
              </w:rPr>
              <w:t>St. Deviation</w:t>
            </w:r>
          </w:p>
        </w:tc>
        <w:tc>
          <w:tcPr>
            <w:tcW w:w="1059" w:type="dxa"/>
            <w:tcBorders>
              <w:bottom w:val="single" w:sz="12" w:space="0" w:color="auto"/>
            </w:tcBorders>
            <w:noWrap/>
            <w:hideMark/>
          </w:tcPr>
          <w:p w14:paraId="21514DB3" w14:textId="77777777" w:rsidR="008061A3" w:rsidRPr="0031513B" w:rsidRDefault="008061A3" w:rsidP="008F7D7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rPr>
            </w:pPr>
            <w:r w:rsidRPr="0031513B">
              <w:rPr>
                <w:rFonts w:ascii="Times New Roman" w:hAnsi="Times New Roman" w:cs="Times New Roman"/>
                <w:b w:val="0"/>
                <w:bCs w:val="0"/>
                <w:sz w:val="20"/>
                <w:szCs w:val="20"/>
              </w:rPr>
              <w:t>Min</w:t>
            </w:r>
          </w:p>
        </w:tc>
        <w:tc>
          <w:tcPr>
            <w:tcW w:w="913" w:type="dxa"/>
            <w:tcBorders>
              <w:bottom w:val="single" w:sz="12" w:space="0" w:color="auto"/>
            </w:tcBorders>
            <w:noWrap/>
            <w:hideMark/>
          </w:tcPr>
          <w:p w14:paraId="471E9C6D" w14:textId="77777777" w:rsidR="008061A3" w:rsidRPr="0031513B" w:rsidRDefault="008061A3" w:rsidP="008F7D7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0"/>
                <w:szCs w:val="20"/>
              </w:rPr>
            </w:pPr>
            <w:r w:rsidRPr="0031513B">
              <w:rPr>
                <w:rFonts w:ascii="Times New Roman" w:hAnsi="Times New Roman" w:cs="Times New Roman"/>
                <w:b w:val="0"/>
                <w:bCs w:val="0"/>
                <w:sz w:val="20"/>
                <w:szCs w:val="20"/>
              </w:rPr>
              <w:t>Max</w:t>
            </w:r>
          </w:p>
        </w:tc>
      </w:tr>
      <w:tr w:rsidR="008061A3" w:rsidRPr="0031513B" w14:paraId="5B1F8D6C" w14:textId="77777777" w:rsidTr="008F7D7C">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692" w:type="dxa"/>
            <w:tcBorders>
              <w:top w:val="single" w:sz="12" w:space="0" w:color="auto"/>
            </w:tcBorders>
            <w:noWrap/>
            <w:hideMark/>
          </w:tcPr>
          <w:p w14:paraId="1D538FF5" w14:textId="77777777" w:rsidR="008061A3" w:rsidRPr="0031513B" w:rsidRDefault="008061A3" w:rsidP="008F7D7C">
            <w:pPr>
              <w:autoSpaceDE w:val="0"/>
              <w:autoSpaceDN w:val="0"/>
              <w:adjustRightInd w:val="0"/>
              <w:rPr>
                <w:rFonts w:ascii="Times New Roman" w:hAnsi="Times New Roman" w:cs="Times New Roman"/>
                <w:b w:val="0"/>
                <w:bCs w:val="0"/>
                <w:sz w:val="20"/>
                <w:szCs w:val="20"/>
              </w:rPr>
            </w:pPr>
            <w:r w:rsidRPr="0031513B">
              <w:rPr>
                <w:rFonts w:ascii="Times New Roman" w:hAnsi="Times New Roman" w:cs="Times New Roman"/>
                <w:b w:val="0"/>
                <w:bCs w:val="0"/>
                <w:sz w:val="20"/>
                <w:szCs w:val="20"/>
              </w:rPr>
              <w:t>Total factor power generation efficiency</w:t>
            </w:r>
          </w:p>
        </w:tc>
        <w:tc>
          <w:tcPr>
            <w:tcW w:w="1414" w:type="dxa"/>
            <w:tcBorders>
              <w:top w:val="single" w:sz="12" w:space="0" w:color="auto"/>
            </w:tcBorders>
            <w:noWrap/>
            <w:hideMark/>
          </w:tcPr>
          <w:p w14:paraId="29C66F77"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360</w:t>
            </w:r>
          </w:p>
        </w:tc>
        <w:tc>
          <w:tcPr>
            <w:tcW w:w="992" w:type="dxa"/>
            <w:tcBorders>
              <w:top w:val="single" w:sz="12" w:space="0" w:color="auto"/>
            </w:tcBorders>
            <w:noWrap/>
            <w:hideMark/>
          </w:tcPr>
          <w:p w14:paraId="3CAEEA51"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0.9854</w:t>
            </w:r>
          </w:p>
        </w:tc>
        <w:tc>
          <w:tcPr>
            <w:tcW w:w="1560" w:type="dxa"/>
            <w:tcBorders>
              <w:top w:val="single" w:sz="12" w:space="0" w:color="auto"/>
            </w:tcBorders>
            <w:noWrap/>
            <w:hideMark/>
          </w:tcPr>
          <w:p w14:paraId="1D600736"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0.0331</w:t>
            </w:r>
          </w:p>
        </w:tc>
        <w:tc>
          <w:tcPr>
            <w:tcW w:w="1059" w:type="dxa"/>
            <w:tcBorders>
              <w:top w:val="single" w:sz="12" w:space="0" w:color="auto"/>
            </w:tcBorders>
            <w:noWrap/>
            <w:hideMark/>
          </w:tcPr>
          <w:p w14:paraId="080157AC"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0.9137</w:t>
            </w:r>
          </w:p>
        </w:tc>
        <w:tc>
          <w:tcPr>
            <w:tcW w:w="913" w:type="dxa"/>
            <w:tcBorders>
              <w:top w:val="single" w:sz="12" w:space="0" w:color="auto"/>
            </w:tcBorders>
            <w:noWrap/>
            <w:hideMark/>
          </w:tcPr>
          <w:p w14:paraId="368D05AD"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1.0945</w:t>
            </w:r>
          </w:p>
        </w:tc>
      </w:tr>
      <w:tr w:rsidR="008061A3" w:rsidRPr="0031513B" w14:paraId="6FF64452" w14:textId="77777777" w:rsidTr="008F7D7C">
        <w:trPr>
          <w:trHeight w:val="227"/>
        </w:trPr>
        <w:tc>
          <w:tcPr>
            <w:cnfStyle w:val="001000000000" w:firstRow="0" w:lastRow="0" w:firstColumn="1" w:lastColumn="0" w:oddVBand="0" w:evenVBand="0" w:oddHBand="0" w:evenHBand="0" w:firstRowFirstColumn="0" w:firstRowLastColumn="0" w:lastRowFirstColumn="0" w:lastRowLastColumn="0"/>
            <w:tcW w:w="2692" w:type="dxa"/>
            <w:noWrap/>
            <w:hideMark/>
          </w:tcPr>
          <w:p w14:paraId="64813E53" w14:textId="77777777" w:rsidR="008061A3" w:rsidRPr="0031513B" w:rsidRDefault="008061A3" w:rsidP="008F7D7C">
            <w:pPr>
              <w:autoSpaceDE w:val="0"/>
              <w:autoSpaceDN w:val="0"/>
              <w:adjustRightInd w:val="0"/>
              <w:rPr>
                <w:rFonts w:ascii="Times New Roman" w:hAnsi="Times New Roman" w:cs="Times New Roman"/>
                <w:b w:val="0"/>
                <w:bCs w:val="0"/>
                <w:sz w:val="20"/>
                <w:szCs w:val="20"/>
              </w:rPr>
            </w:pPr>
            <w:r w:rsidRPr="0031513B">
              <w:rPr>
                <w:rFonts w:ascii="Times New Roman" w:hAnsi="Times New Roman" w:cs="Times New Roman"/>
                <w:b w:val="0"/>
                <w:bCs w:val="0"/>
                <w:sz w:val="20"/>
                <w:szCs w:val="20"/>
              </w:rPr>
              <w:t>Treat</w:t>
            </w:r>
          </w:p>
        </w:tc>
        <w:tc>
          <w:tcPr>
            <w:tcW w:w="1414" w:type="dxa"/>
            <w:noWrap/>
            <w:hideMark/>
          </w:tcPr>
          <w:p w14:paraId="4D40EB0A"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360</w:t>
            </w:r>
          </w:p>
        </w:tc>
        <w:tc>
          <w:tcPr>
            <w:tcW w:w="992" w:type="dxa"/>
            <w:noWrap/>
            <w:hideMark/>
          </w:tcPr>
          <w:p w14:paraId="4E85C642"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0.2</w:t>
            </w:r>
          </w:p>
        </w:tc>
        <w:tc>
          <w:tcPr>
            <w:tcW w:w="1560" w:type="dxa"/>
            <w:noWrap/>
            <w:hideMark/>
          </w:tcPr>
          <w:p w14:paraId="7D13B3D4"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0.4003</w:t>
            </w:r>
          </w:p>
        </w:tc>
        <w:tc>
          <w:tcPr>
            <w:tcW w:w="1059" w:type="dxa"/>
            <w:noWrap/>
            <w:hideMark/>
          </w:tcPr>
          <w:p w14:paraId="77E6D4C2"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w:t>
            </w:r>
          </w:p>
        </w:tc>
        <w:tc>
          <w:tcPr>
            <w:tcW w:w="913" w:type="dxa"/>
            <w:noWrap/>
            <w:hideMark/>
          </w:tcPr>
          <w:p w14:paraId="6D7D0358"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1</w:t>
            </w:r>
          </w:p>
        </w:tc>
      </w:tr>
      <w:tr w:rsidR="008061A3" w:rsidRPr="0031513B" w14:paraId="4A41EFFF" w14:textId="77777777" w:rsidTr="008F7D7C">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692" w:type="dxa"/>
            <w:noWrap/>
            <w:hideMark/>
          </w:tcPr>
          <w:p w14:paraId="55A7F9A5" w14:textId="77777777" w:rsidR="008061A3" w:rsidRPr="0031513B" w:rsidRDefault="008061A3" w:rsidP="008F7D7C">
            <w:pPr>
              <w:autoSpaceDE w:val="0"/>
              <w:autoSpaceDN w:val="0"/>
              <w:adjustRightInd w:val="0"/>
              <w:rPr>
                <w:rFonts w:ascii="Times New Roman" w:hAnsi="Times New Roman" w:cs="Times New Roman"/>
                <w:b w:val="0"/>
                <w:bCs w:val="0"/>
                <w:sz w:val="20"/>
                <w:szCs w:val="20"/>
              </w:rPr>
            </w:pPr>
            <w:r w:rsidRPr="0031513B">
              <w:rPr>
                <w:rFonts w:ascii="Times New Roman" w:hAnsi="Times New Roman" w:cs="Times New Roman"/>
                <w:b w:val="0"/>
                <w:bCs w:val="0"/>
                <w:sz w:val="20"/>
                <w:szCs w:val="20"/>
              </w:rPr>
              <w:t>Treat x Post</w:t>
            </w:r>
          </w:p>
        </w:tc>
        <w:tc>
          <w:tcPr>
            <w:tcW w:w="1414" w:type="dxa"/>
            <w:noWrap/>
            <w:hideMark/>
          </w:tcPr>
          <w:p w14:paraId="28211286"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360</w:t>
            </w:r>
          </w:p>
        </w:tc>
        <w:tc>
          <w:tcPr>
            <w:tcW w:w="992" w:type="dxa"/>
            <w:noWrap/>
            <w:hideMark/>
          </w:tcPr>
          <w:p w14:paraId="17D06185"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0.1167</w:t>
            </w:r>
          </w:p>
        </w:tc>
        <w:tc>
          <w:tcPr>
            <w:tcW w:w="1560" w:type="dxa"/>
            <w:noWrap/>
            <w:hideMark/>
          </w:tcPr>
          <w:p w14:paraId="3039DFB1"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0.3213</w:t>
            </w:r>
          </w:p>
        </w:tc>
        <w:tc>
          <w:tcPr>
            <w:tcW w:w="1059" w:type="dxa"/>
            <w:noWrap/>
            <w:hideMark/>
          </w:tcPr>
          <w:p w14:paraId="374761DE"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w:t>
            </w:r>
          </w:p>
        </w:tc>
        <w:tc>
          <w:tcPr>
            <w:tcW w:w="913" w:type="dxa"/>
            <w:noWrap/>
            <w:hideMark/>
          </w:tcPr>
          <w:p w14:paraId="48824FF3"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1</w:t>
            </w:r>
          </w:p>
        </w:tc>
      </w:tr>
      <w:tr w:rsidR="008061A3" w:rsidRPr="0031513B" w14:paraId="4ECA892C" w14:textId="77777777" w:rsidTr="008F7D7C">
        <w:trPr>
          <w:trHeight w:val="227"/>
        </w:trPr>
        <w:tc>
          <w:tcPr>
            <w:cnfStyle w:val="001000000000" w:firstRow="0" w:lastRow="0" w:firstColumn="1" w:lastColumn="0" w:oddVBand="0" w:evenVBand="0" w:oddHBand="0" w:evenHBand="0" w:firstRowFirstColumn="0" w:firstRowLastColumn="0" w:lastRowFirstColumn="0" w:lastRowLastColumn="0"/>
            <w:tcW w:w="2692" w:type="dxa"/>
            <w:noWrap/>
            <w:hideMark/>
          </w:tcPr>
          <w:p w14:paraId="5EA0F7DB" w14:textId="77777777" w:rsidR="008061A3" w:rsidRPr="0031513B" w:rsidRDefault="008061A3" w:rsidP="008F7D7C">
            <w:pPr>
              <w:autoSpaceDE w:val="0"/>
              <w:autoSpaceDN w:val="0"/>
              <w:adjustRightInd w:val="0"/>
              <w:rPr>
                <w:rFonts w:ascii="Times New Roman" w:hAnsi="Times New Roman" w:cs="Times New Roman"/>
                <w:b w:val="0"/>
                <w:bCs w:val="0"/>
                <w:sz w:val="20"/>
                <w:szCs w:val="20"/>
              </w:rPr>
            </w:pPr>
            <w:r w:rsidRPr="0031513B">
              <w:rPr>
                <w:rFonts w:ascii="Times New Roman" w:hAnsi="Times New Roman" w:cs="Times New Roman"/>
                <w:b w:val="0"/>
                <w:bCs w:val="0"/>
                <w:sz w:val="20"/>
                <w:szCs w:val="20"/>
              </w:rPr>
              <w:t>Environmental resource commitment</w:t>
            </w:r>
          </w:p>
        </w:tc>
        <w:tc>
          <w:tcPr>
            <w:tcW w:w="1414" w:type="dxa"/>
            <w:noWrap/>
            <w:hideMark/>
          </w:tcPr>
          <w:p w14:paraId="60516DD0"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360</w:t>
            </w:r>
          </w:p>
        </w:tc>
        <w:tc>
          <w:tcPr>
            <w:tcW w:w="992" w:type="dxa"/>
            <w:noWrap/>
            <w:hideMark/>
          </w:tcPr>
          <w:p w14:paraId="2EEEBBED"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1.9893</w:t>
            </w:r>
          </w:p>
        </w:tc>
        <w:tc>
          <w:tcPr>
            <w:tcW w:w="1560" w:type="dxa"/>
            <w:noWrap/>
            <w:hideMark/>
          </w:tcPr>
          <w:p w14:paraId="17AC3423"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0.3297</w:t>
            </w:r>
          </w:p>
        </w:tc>
        <w:tc>
          <w:tcPr>
            <w:tcW w:w="1059" w:type="dxa"/>
            <w:noWrap/>
            <w:hideMark/>
          </w:tcPr>
          <w:p w14:paraId="4458EFAB"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0.8331</w:t>
            </w:r>
          </w:p>
        </w:tc>
        <w:tc>
          <w:tcPr>
            <w:tcW w:w="913" w:type="dxa"/>
            <w:noWrap/>
            <w:hideMark/>
          </w:tcPr>
          <w:p w14:paraId="22EF3B81"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2.8736</w:t>
            </w:r>
          </w:p>
        </w:tc>
      </w:tr>
      <w:tr w:rsidR="008061A3" w:rsidRPr="0031513B" w14:paraId="350B34A6" w14:textId="77777777" w:rsidTr="008F7D7C">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692" w:type="dxa"/>
            <w:noWrap/>
            <w:hideMark/>
          </w:tcPr>
          <w:p w14:paraId="4AFD377F" w14:textId="77777777" w:rsidR="008061A3" w:rsidRPr="0031513B" w:rsidRDefault="008061A3" w:rsidP="008F7D7C">
            <w:pPr>
              <w:autoSpaceDE w:val="0"/>
              <w:autoSpaceDN w:val="0"/>
              <w:adjustRightInd w:val="0"/>
              <w:rPr>
                <w:rFonts w:ascii="Times New Roman" w:hAnsi="Times New Roman" w:cs="Times New Roman"/>
                <w:b w:val="0"/>
                <w:bCs w:val="0"/>
                <w:sz w:val="20"/>
                <w:szCs w:val="20"/>
              </w:rPr>
            </w:pPr>
            <w:r w:rsidRPr="0031513B">
              <w:rPr>
                <w:rFonts w:ascii="Times New Roman" w:hAnsi="Times New Roman" w:cs="Times New Roman"/>
                <w:b w:val="0"/>
                <w:bCs w:val="0"/>
                <w:sz w:val="20"/>
                <w:szCs w:val="20"/>
              </w:rPr>
              <w:lastRenderedPageBreak/>
              <w:t>Clean combustion technology innovation</w:t>
            </w:r>
          </w:p>
        </w:tc>
        <w:tc>
          <w:tcPr>
            <w:tcW w:w="1414" w:type="dxa"/>
            <w:noWrap/>
            <w:hideMark/>
          </w:tcPr>
          <w:p w14:paraId="6F46ED28"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360</w:t>
            </w:r>
          </w:p>
        </w:tc>
        <w:tc>
          <w:tcPr>
            <w:tcW w:w="992" w:type="dxa"/>
            <w:noWrap/>
            <w:hideMark/>
          </w:tcPr>
          <w:p w14:paraId="0F051890"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1.6155</w:t>
            </w:r>
          </w:p>
        </w:tc>
        <w:tc>
          <w:tcPr>
            <w:tcW w:w="1560" w:type="dxa"/>
            <w:noWrap/>
            <w:hideMark/>
          </w:tcPr>
          <w:p w14:paraId="518BF7B2"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0.6073</w:t>
            </w:r>
          </w:p>
        </w:tc>
        <w:tc>
          <w:tcPr>
            <w:tcW w:w="1059" w:type="dxa"/>
            <w:noWrap/>
            <w:hideMark/>
          </w:tcPr>
          <w:p w14:paraId="01AA4807"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-0.0338</w:t>
            </w:r>
          </w:p>
        </w:tc>
        <w:tc>
          <w:tcPr>
            <w:tcW w:w="913" w:type="dxa"/>
            <w:noWrap/>
            <w:hideMark/>
          </w:tcPr>
          <w:p w14:paraId="7C99D848"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2.8698</w:t>
            </w:r>
          </w:p>
        </w:tc>
      </w:tr>
      <w:tr w:rsidR="008061A3" w:rsidRPr="0031513B" w14:paraId="799DFDCF" w14:textId="77777777" w:rsidTr="008F7D7C">
        <w:trPr>
          <w:trHeight w:val="227"/>
        </w:trPr>
        <w:tc>
          <w:tcPr>
            <w:cnfStyle w:val="001000000000" w:firstRow="0" w:lastRow="0" w:firstColumn="1" w:lastColumn="0" w:oddVBand="0" w:evenVBand="0" w:oddHBand="0" w:evenHBand="0" w:firstRowFirstColumn="0" w:firstRowLastColumn="0" w:lastRowFirstColumn="0" w:lastRowLastColumn="0"/>
            <w:tcW w:w="2692" w:type="dxa"/>
            <w:noWrap/>
            <w:hideMark/>
          </w:tcPr>
          <w:p w14:paraId="09EF984E" w14:textId="77777777" w:rsidR="008061A3" w:rsidRPr="0031513B" w:rsidRDefault="008061A3" w:rsidP="008F7D7C">
            <w:pPr>
              <w:autoSpaceDE w:val="0"/>
              <w:autoSpaceDN w:val="0"/>
              <w:adjustRightInd w:val="0"/>
              <w:rPr>
                <w:rFonts w:ascii="Times New Roman" w:hAnsi="Times New Roman" w:cs="Times New Roman"/>
                <w:b w:val="0"/>
                <w:bCs w:val="0"/>
                <w:sz w:val="20"/>
                <w:szCs w:val="20"/>
              </w:rPr>
            </w:pPr>
            <w:r w:rsidRPr="0031513B">
              <w:rPr>
                <w:rFonts w:ascii="Times New Roman" w:hAnsi="Times New Roman" w:cs="Times New Roman"/>
                <w:b w:val="0"/>
                <w:bCs w:val="0"/>
                <w:sz w:val="20"/>
                <w:szCs w:val="20"/>
              </w:rPr>
              <w:t>Population density</w:t>
            </w:r>
          </w:p>
        </w:tc>
        <w:tc>
          <w:tcPr>
            <w:tcW w:w="1414" w:type="dxa"/>
            <w:noWrap/>
            <w:hideMark/>
          </w:tcPr>
          <w:p w14:paraId="47B28D33"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360</w:t>
            </w:r>
          </w:p>
        </w:tc>
        <w:tc>
          <w:tcPr>
            <w:tcW w:w="992" w:type="dxa"/>
            <w:noWrap/>
            <w:hideMark/>
          </w:tcPr>
          <w:p w14:paraId="27DFC574"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3.558</w:t>
            </w:r>
          </w:p>
        </w:tc>
        <w:tc>
          <w:tcPr>
            <w:tcW w:w="1560" w:type="dxa"/>
            <w:noWrap/>
            <w:hideMark/>
          </w:tcPr>
          <w:p w14:paraId="4EA6CA82"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0.318</w:t>
            </w:r>
          </w:p>
        </w:tc>
        <w:tc>
          <w:tcPr>
            <w:tcW w:w="1059" w:type="dxa"/>
            <w:noWrap/>
            <w:hideMark/>
          </w:tcPr>
          <w:p w14:paraId="6FB3AF1F"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2.744</w:t>
            </w:r>
          </w:p>
        </w:tc>
        <w:tc>
          <w:tcPr>
            <w:tcW w:w="913" w:type="dxa"/>
            <w:noWrap/>
            <w:hideMark/>
          </w:tcPr>
          <w:p w14:paraId="5B52268E"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4.097</w:t>
            </w:r>
          </w:p>
        </w:tc>
      </w:tr>
      <w:tr w:rsidR="008061A3" w:rsidRPr="0031513B" w14:paraId="18D5AB66" w14:textId="77777777" w:rsidTr="008F7D7C">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692" w:type="dxa"/>
            <w:noWrap/>
            <w:hideMark/>
          </w:tcPr>
          <w:p w14:paraId="3D1EE170" w14:textId="77777777" w:rsidR="008061A3" w:rsidRPr="0031513B" w:rsidRDefault="008061A3" w:rsidP="008F7D7C">
            <w:pPr>
              <w:autoSpaceDE w:val="0"/>
              <w:autoSpaceDN w:val="0"/>
              <w:adjustRightInd w:val="0"/>
              <w:rPr>
                <w:rFonts w:ascii="Times New Roman" w:hAnsi="Times New Roman" w:cs="Times New Roman"/>
                <w:b w:val="0"/>
                <w:bCs w:val="0"/>
                <w:sz w:val="20"/>
                <w:szCs w:val="20"/>
              </w:rPr>
            </w:pPr>
            <w:r w:rsidRPr="0031513B">
              <w:rPr>
                <w:rFonts w:ascii="Times New Roman" w:hAnsi="Times New Roman" w:cs="Times New Roman"/>
                <w:b w:val="0"/>
                <w:bCs w:val="0"/>
                <w:sz w:val="20"/>
                <w:szCs w:val="20"/>
              </w:rPr>
              <w:t>Human.capital</w:t>
            </w:r>
          </w:p>
        </w:tc>
        <w:tc>
          <w:tcPr>
            <w:tcW w:w="1414" w:type="dxa"/>
            <w:noWrap/>
            <w:hideMark/>
          </w:tcPr>
          <w:p w14:paraId="64BB6D9C"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360</w:t>
            </w:r>
          </w:p>
        </w:tc>
        <w:tc>
          <w:tcPr>
            <w:tcW w:w="992" w:type="dxa"/>
            <w:noWrap/>
            <w:hideMark/>
          </w:tcPr>
          <w:p w14:paraId="0568F768"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3.178</w:t>
            </w:r>
          </w:p>
        </w:tc>
        <w:tc>
          <w:tcPr>
            <w:tcW w:w="1560" w:type="dxa"/>
            <w:noWrap/>
            <w:hideMark/>
          </w:tcPr>
          <w:p w14:paraId="26E7FC51"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0.233</w:t>
            </w:r>
          </w:p>
        </w:tc>
        <w:tc>
          <w:tcPr>
            <w:tcW w:w="1059" w:type="dxa"/>
            <w:noWrap/>
            <w:hideMark/>
          </w:tcPr>
          <w:p w14:paraId="2CC7775C"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2.657</w:t>
            </w:r>
          </w:p>
        </w:tc>
        <w:tc>
          <w:tcPr>
            <w:tcW w:w="913" w:type="dxa"/>
            <w:noWrap/>
            <w:hideMark/>
          </w:tcPr>
          <w:p w14:paraId="7B3AC648"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3.715</w:t>
            </w:r>
          </w:p>
        </w:tc>
      </w:tr>
      <w:tr w:rsidR="008061A3" w:rsidRPr="0031513B" w14:paraId="013AA5C6" w14:textId="77777777" w:rsidTr="008F7D7C">
        <w:trPr>
          <w:trHeight w:val="227"/>
        </w:trPr>
        <w:tc>
          <w:tcPr>
            <w:cnfStyle w:val="001000000000" w:firstRow="0" w:lastRow="0" w:firstColumn="1" w:lastColumn="0" w:oddVBand="0" w:evenVBand="0" w:oddHBand="0" w:evenHBand="0" w:firstRowFirstColumn="0" w:firstRowLastColumn="0" w:lastRowFirstColumn="0" w:lastRowLastColumn="0"/>
            <w:tcW w:w="2692" w:type="dxa"/>
            <w:noWrap/>
            <w:hideMark/>
          </w:tcPr>
          <w:p w14:paraId="581D299E" w14:textId="77777777" w:rsidR="008061A3" w:rsidRPr="0031513B" w:rsidRDefault="008061A3" w:rsidP="008F7D7C">
            <w:pPr>
              <w:autoSpaceDE w:val="0"/>
              <w:autoSpaceDN w:val="0"/>
              <w:adjustRightInd w:val="0"/>
              <w:rPr>
                <w:rFonts w:ascii="Times New Roman" w:hAnsi="Times New Roman" w:cs="Times New Roman"/>
                <w:b w:val="0"/>
                <w:bCs w:val="0"/>
                <w:sz w:val="20"/>
                <w:szCs w:val="20"/>
              </w:rPr>
            </w:pPr>
            <w:r w:rsidRPr="0031513B">
              <w:rPr>
                <w:rFonts w:ascii="Times New Roman" w:hAnsi="Times New Roman" w:cs="Times New Roman"/>
                <w:b w:val="0"/>
                <w:bCs w:val="0"/>
                <w:sz w:val="20"/>
                <w:szCs w:val="20"/>
              </w:rPr>
              <w:t>Per capita GDP</w:t>
            </w:r>
          </w:p>
        </w:tc>
        <w:tc>
          <w:tcPr>
            <w:tcW w:w="1414" w:type="dxa"/>
            <w:noWrap/>
            <w:hideMark/>
          </w:tcPr>
          <w:p w14:paraId="71D269C3"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360</w:t>
            </w:r>
          </w:p>
        </w:tc>
        <w:tc>
          <w:tcPr>
            <w:tcW w:w="992" w:type="dxa"/>
            <w:noWrap/>
            <w:hideMark/>
          </w:tcPr>
          <w:p w14:paraId="3030561A"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4.602</w:t>
            </w:r>
          </w:p>
        </w:tc>
        <w:tc>
          <w:tcPr>
            <w:tcW w:w="1560" w:type="dxa"/>
            <w:noWrap/>
            <w:hideMark/>
          </w:tcPr>
          <w:p w14:paraId="4963EB73"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0.281</w:t>
            </w:r>
          </w:p>
        </w:tc>
        <w:tc>
          <w:tcPr>
            <w:tcW w:w="1059" w:type="dxa"/>
            <w:noWrap/>
            <w:hideMark/>
          </w:tcPr>
          <w:p w14:paraId="194C89F9"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3.987</w:t>
            </w:r>
          </w:p>
        </w:tc>
        <w:tc>
          <w:tcPr>
            <w:tcW w:w="913" w:type="dxa"/>
            <w:noWrap/>
            <w:hideMark/>
          </w:tcPr>
          <w:p w14:paraId="2855DE37"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5.209</w:t>
            </w:r>
          </w:p>
        </w:tc>
      </w:tr>
      <w:tr w:rsidR="008061A3" w:rsidRPr="0031513B" w14:paraId="76CE70C5" w14:textId="77777777" w:rsidTr="008F7D7C">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692" w:type="dxa"/>
            <w:noWrap/>
            <w:hideMark/>
          </w:tcPr>
          <w:p w14:paraId="41F63C7A" w14:textId="77777777" w:rsidR="008061A3" w:rsidRPr="0031513B" w:rsidRDefault="008061A3" w:rsidP="008F7D7C">
            <w:pPr>
              <w:autoSpaceDE w:val="0"/>
              <w:autoSpaceDN w:val="0"/>
              <w:adjustRightInd w:val="0"/>
              <w:rPr>
                <w:rFonts w:ascii="Times New Roman" w:hAnsi="Times New Roman" w:cs="Times New Roman"/>
                <w:b w:val="0"/>
                <w:bCs w:val="0"/>
                <w:sz w:val="20"/>
                <w:szCs w:val="20"/>
              </w:rPr>
            </w:pPr>
            <w:r w:rsidRPr="0031513B">
              <w:rPr>
                <w:rFonts w:ascii="Times New Roman" w:hAnsi="Times New Roman" w:cs="Times New Roman"/>
                <w:b w:val="0"/>
                <w:bCs w:val="0"/>
                <w:sz w:val="20"/>
                <w:szCs w:val="20"/>
              </w:rPr>
              <w:t xml:space="preserve">Foreign direct investment </w:t>
            </w:r>
          </w:p>
        </w:tc>
        <w:tc>
          <w:tcPr>
            <w:tcW w:w="1414" w:type="dxa"/>
            <w:noWrap/>
            <w:hideMark/>
          </w:tcPr>
          <w:p w14:paraId="1E7AD9DB"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360</w:t>
            </w:r>
          </w:p>
        </w:tc>
        <w:tc>
          <w:tcPr>
            <w:tcW w:w="992" w:type="dxa"/>
            <w:noWrap/>
            <w:hideMark/>
          </w:tcPr>
          <w:p w14:paraId="6A047B13"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5.318</w:t>
            </w:r>
          </w:p>
        </w:tc>
        <w:tc>
          <w:tcPr>
            <w:tcW w:w="1560" w:type="dxa"/>
            <w:noWrap/>
            <w:hideMark/>
          </w:tcPr>
          <w:p w14:paraId="48F283E9"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0.672</w:t>
            </w:r>
          </w:p>
        </w:tc>
        <w:tc>
          <w:tcPr>
            <w:tcW w:w="1059" w:type="dxa"/>
            <w:noWrap/>
            <w:hideMark/>
          </w:tcPr>
          <w:p w14:paraId="1ABB4CBA"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3.912</w:t>
            </w:r>
          </w:p>
        </w:tc>
        <w:tc>
          <w:tcPr>
            <w:tcW w:w="913" w:type="dxa"/>
            <w:noWrap/>
            <w:hideMark/>
          </w:tcPr>
          <w:p w14:paraId="1E7B2F33"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6.73</w:t>
            </w:r>
          </w:p>
        </w:tc>
      </w:tr>
      <w:tr w:rsidR="008061A3" w:rsidRPr="0031513B" w14:paraId="51818979" w14:textId="77777777" w:rsidTr="008F7D7C">
        <w:trPr>
          <w:trHeight w:val="227"/>
        </w:trPr>
        <w:tc>
          <w:tcPr>
            <w:cnfStyle w:val="001000000000" w:firstRow="0" w:lastRow="0" w:firstColumn="1" w:lastColumn="0" w:oddVBand="0" w:evenVBand="0" w:oddHBand="0" w:evenHBand="0" w:firstRowFirstColumn="0" w:firstRowLastColumn="0" w:lastRowFirstColumn="0" w:lastRowLastColumn="0"/>
            <w:tcW w:w="2692" w:type="dxa"/>
            <w:noWrap/>
            <w:hideMark/>
          </w:tcPr>
          <w:p w14:paraId="68C92D13" w14:textId="77777777" w:rsidR="008061A3" w:rsidRPr="0031513B" w:rsidRDefault="008061A3" w:rsidP="008F7D7C">
            <w:pPr>
              <w:autoSpaceDE w:val="0"/>
              <w:autoSpaceDN w:val="0"/>
              <w:adjustRightInd w:val="0"/>
              <w:rPr>
                <w:rFonts w:ascii="Times New Roman" w:hAnsi="Times New Roman" w:cs="Times New Roman"/>
                <w:b w:val="0"/>
                <w:bCs w:val="0"/>
                <w:sz w:val="20"/>
                <w:szCs w:val="20"/>
              </w:rPr>
            </w:pPr>
            <w:r w:rsidRPr="0031513B">
              <w:rPr>
                <w:rFonts w:ascii="Times New Roman" w:hAnsi="Times New Roman" w:cs="Times New Roman"/>
                <w:b w:val="0"/>
                <w:bCs w:val="0"/>
                <w:sz w:val="20"/>
                <w:szCs w:val="20"/>
              </w:rPr>
              <w:t xml:space="preserve">Industrial Structure Upgrading </w:t>
            </w:r>
          </w:p>
        </w:tc>
        <w:tc>
          <w:tcPr>
            <w:tcW w:w="1414" w:type="dxa"/>
            <w:noWrap/>
            <w:hideMark/>
          </w:tcPr>
          <w:p w14:paraId="08D32752"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360</w:t>
            </w:r>
          </w:p>
        </w:tc>
        <w:tc>
          <w:tcPr>
            <w:tcW w:w="992" w:type="dxa"/>
            <w:noWrap/>
            <w:hideMark/>
          </w:tcPr>
          <w:p w14:paraId="27981A1B"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0.2515</w:t>
            </w:r>
          </w:p>
        </w:tc>
        <w:tc>
          <w:tcPr>
            <w:tcW w:w="1560" w:type="dxa"/>
            <w:noWrap/>
            <w:hideMark/>
          </w:tcPr>
          <w:p w14:paraId="112E42D2"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0.2193</w:t>
            </w:r>
          </w:p>
        </w:tc>
        <w:tc>
          <w:tcPr>
            <w:tcW w:w="1059" w:type="dxa"/>
            <w:noWrap/>
            <w:hideMark/>
          </w:tcPr>
          <w:p w14:paraId="36C630EE"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0.0015</w:t>
            </w:r>
          </w:p>
        </w:tc>
        <w:tc>
          <w:tcPr>
            <w:tcW w:w="913" w:type="dxa"/>
            <w:noWrap/>
            <w:hideMark/>
          </w:tcPr>
          <w:p w14:paraId="6C4FEE9A" w14:textId="77777777" w:rsidR="008061A3" w:rsidRPr="0031513B"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0.9189</w:t>
            </w:r>
          </w:p>
        </w:tc>
      </w:tr>
      <w:tr w:rsidR="008061A3" w:rsidRPr="0031513B" w14:paraId="0C133723" w14:textId="77777777" w:rsidTr="008F7D7C">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692" w:type="dxa"/>
            <w:noWrap/>
            <w:hideMark/>
          </w:tcPr>
          <w:p w14:paraId="7183C6CA" w14:textId="77777777" w:rsidR="008061A3" w:rsidRPr="0031513B" w:rsidRDefault="008061A3" w:rsidP="008F7D7C">
            <w:pPr>
              <w:autoSpaceDE w:val="0"/>
              <w:autoSpaceDN w:val="0"/>
              <w:adjustRightInd w:val="0"/>
              <w:rPr>
                <w:rFonts w:ascii="Times New Roman" w:hAnsi="Times New Roman" w:cs="Times New Roman"/>
                <w:b w:val="0"/>
                <w:bCs w:val="0"/>
                <w:sz w:val="20"/>
                <w:szCs w:val="20"/>
              </w:rPr>
            </w:pPr>
            <w:r w:rsidRPr="0031513B">
              <w:rPr>
                <w:rFonts w:ascii="Times New Roman" w:hAnsi="Times New Roman" w:cs="Times New Roman"/>
                <w:b w:val="0"/>
                <w:bCs w:val="0"/>
                <w:sz w:val="20"/>
                <w:szCs w:val="20"/>
              </w:rPr>
              <w:t>Industrialization</w:t>
            </w:r>
          </w:p>
        </w:tc>
        <w:tc>
          <w:tcPr>
            <w:tcW w:w="1414" w:type="dxa"/>
            <w:noWrap/>
            <w:hideMark/>
          </w:tcPr>
          <w:p w14:paraId="676E196F"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360</w:t>
            </w:r>
          </w:p>
        </w:tc>
        <w:tc>
          <w:tcPr>
            <w:tcW w:w="992" w:type="dxa"/>
            <w:noWrap/>
            <w:hideMark/>
          </w:tcPr>
          <w:p w14:paraId="05D2A074"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0.9686</w:t>
            </w:r>
          </w:p>
        </w:tc>
        <w:tc>
          <w:tcPr>
            <w:tcW w:w="1560" w:type="dxa"/>
            <w:noWrap/>
            <w:hideMark/>
          </w:tcPr>
          <w:p w14:paraId="7C622F8B"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0.0108</w:t>
            </w:r>
          </w:p>
        </w:tc>
        <w:tc>
          <w:tcPr>
            <w:tcW w:w="1059" w:type="dxa"/>
            <w:noWrap/>
            <w:hideMark/>
          </w:tcPr>
          <w:p w14:paraId="5DC6EA8B"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0.9366</w:t>
            </w:r>
          </w:p>
        </w:tc>
        <w:tc>
          <w:tcPr>
            <w:tcW w:w="913" w:type="dxa"/>
            <w:noWrap/>
            <w:hideMark/>
          </w:tcPr>
          <w:p w14:paraId="3320CADC" w14:textId="77777777" w:rsidR="008061A3" w:rsidRPr="0031513B"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1513B">
              <w:rPr>
                <w:rFonts w:ascii="Times New Roman" w:hAnsi="Times New Roman" w:cs="Times New Roman"/>
                <w:sz w:val="20"/>
                <w:szCs w:val="20"/>
              </w:rPr>
              <w:t>0.9827</w:t>
            </w:r>
          </w:p>
        </w:tc>
      </w:tr>
    </w:tbl>
    <w:p w14:paraId="0AD8A1D7" w14:textId="77777777" w:rsidR="00E46CC7" w:rsidRDefault="00E46CC7" w:rsidP="008061A3">
      <w:pPr>
        <w:pStyle w:val="Newparagraph"/>
        <w:ind w:firstLine="0"/>
      </w:pPr>
    </w:p>
    <w:p w14:paraId="6E0972E9" w14:textId="77777777" w:rsidR="008872DE" w:rsidRPr="00B13515" w:rsidRDefault="008872DE" w:rsidP="008061A3">
      <w:pPr>
        <w:pStyle w:val="Newparagraph"/>
        <w:ind w:firstLine="0"/>
      </w:pPr>
    </w:p>
    <w:p w14:paraId="4DFCC50F" w14:textId="77777777" w:rsidR="008061A3" w:rsidRPr="00834276" w:rsidRDefault="008061A3" w:rsidP="008061A3">
      <w:pPr>
        <w:pStyle w:val="Heading3"/>
      </w:pPr>
      <w:r w:rsidRPr="007F6C04">
        <w:t xml:space="preserve">3.1.2 Data sources </w:t>
      </w:r>
    </w:p>
    <w:p w14:paraId="7520AF88" w14:textId="4CAB5391" w:rsidR="008061A3" w:rsidRDefault="008061A3" w:rsidP="008430EF">
      <w:pPr>
        <w:pStyle w:val="Heading4Paragraph"/>
        <w:spacing w:before="240"/>
        <w:jc w:val="both"/>
        <w:rPr>
          <w:rFonts w:eastAsia="STIX-Regular"/>
        </w:rPr>
      </w:pPr>
      <w:r w:rsidRPr="007F6C04">
        <w:rPr>
          <w:rFonts w:eastAsia="STIX-Regular"/>
        </w:rPr>
        <w:t xml:space="preserve">    </w:t>
      </w:r>
      <w:r w:rsidRPr="00046F57">
        <w:rPr>
          <w:rFonts w:eastAsia="STIX-Regular"/>
        </w:rPr>
        <w:t>Given the temporal constraints of CETS implementation and data availability, our study focuses on samples taken from 30 Chinese mainland provinces between 2008 and 2019 (excluding the Tibet Autonomous Region). After filtering out samples with incomplete key variables, our original dataset comprises 360 province-level observations across 30 provinces and cities from 2008 to 2019.</w:t>
      </w:r>
      <w:r>
        <w:rPr>
          <w:rFonts w:eastAsia="STIX-Regular"/>
        </w:rPr>
        <w:t xml:space="preserve"> </w:t>
      </w:r>
      <w:r w:rsidRPr="008061A3">
        <w:rPr>
          <w:rFonts w:eastAsia="STIX-Regular"/>
        </w:rPr>
        <w:t xml:space="preserve">The data used in this study were obtained from publicly accessible, proprietary, and published sources. Labor and employment statistics were sourced from the China Population and Employment Statistical Yearbook and the China Statistical Yearbook, published by the National Bureau of Statistics of China </w:t>
      </w:r>
      <w:r>
        <w:rPr>
          <w:rFonts w:eastAsia="STIX-Regular"/>
        </w:rPr>
        <w:t>(</w:t>
      </w:r>
      <w:hyperlink r:id="rId8" w:history="1">
        <w:r w:rsidRPr="00F63231">
          <w:rPr>
            <w:rStyle w:val="Hyperlink"/>
            <w:rFonts w:eastAsia="STIX-Regular"/>
          </w:rPr>
          <w:t>https://data.stats.gov.cn</w:t>
        </w:r>
      </w:hyperlink>
      <w:r>
        <w:rPr>
          <w:rFonts w:eastAsia="STIX-Regular"/>
        </w:rPr>
        <w:t>)</w:t>
      </w:r>
      <w:r w:rsidRPr="008061A3">
        <w:rPr>
          <w:rFonts w:eastAsia="STIX-Regular"/>
        </w:rPr>
        <w:t xml:space="preserve">. Energy statistics, including fossil energy consumption, were derived from the China Energy Statistical Yearbook, and electricity statistics, including installed capacity and power generation, from the China Electric Power Statistical Yearbook, both published by the National Bureau of Statistics and the China Electricity Council, respectively. Environmental statistics, including CO2 emissions, were obtained from the China Statistical Yearbook, the China Provincial Environment Yearbook, and the China Emissions </w:t>
      </w:r>
      <w:r w:rsidRPr="008061A3">
        <w:rPr>
          <w:rFonts w:eastAsia="STIX-Regular"/>
        </w:rPr>
        <w:lastRenderedPageBreak/>
        <w:t xml:space="preserve">Accounts and Datasets (CEADs) </w:t>
      </w:r>
      <w:r>
        <w:rPr>
          <w:rFonts w:eastAsia="STIX-Regular"/>
        </w:rPr>
        <w:t>(</w:t>
      </w:r>
      <w:hyperlink r:id="rId9" w:history="1">
        <w:r w:rsidRPr="00F63231">
          <w:rPr>
            <w:rStyle w:val="Hyperlink"/>
            <w:rFonts w:eastAsia="STIX-Regular"/>
          </w:rPr>
          <w:t>https://www.ceads.net</w:t>
        </w:r>
      </w:hyperlink>
      <w:r>
        <w:rPr>
          <w:rFonts w:eastAsia="STIX-Regular"/>
        </w:rPr>
        <w:t>)</w:t>
      </w:r>
      <w:r w:rsidRPr="008061A3">
        <w:rPr>
          <w:rFonts w:eastAsia="STIX-Regular"/>
        </w:rPr>
        <w:t xml:space="preserve">. </w:t>
      </w:r>
      <w:r w:rsidR="003D0A73">
        <w:rPr>
          <w:rFonts w:eastAsia="STIX-Regular"/>
        </w:rPr>
        <w:t xml:space="preserve">Clean combustion technologies </w:t>
      </w:r>
      <w:r w:rsidRPr="008061A3">
        <w:rPr>
          <w:rFonts w:eastAsia="STIX-Regular"/>
        </w:rPr>
        <w:t xml:space="preserve">Patent and intellectual property data were retrieved from the China National Intellectual Property Administration </w:t>
      </w:r>
      <w:r>
        <w:rPr>
          <w:rFonts w:eastAsia="STIX-Regular"/>
        </w:rPr>
        <w:t>(</w:t>
      </w:r>
      <w:hyperlink r:id="rId10" w:history="1">
        <w:r w:rsidRPr="00F63231">
          <w:rPr>
            <w:rStyle w:val="Hyperlink"/>
            <w:rFonts w:eastAsia="STIX-Regular"/>
          </w:rPr>
          <w:t>https://english.cnipa.gov.cn</w:t>
        </w:r>
      </w:hyperlink>
      <w:r>
        <w:rPr>
          <w:rFonts w:eastAsia="STIX-Regular"/>
        </w:rPr>
        <w:t>)</w:t>
      </w:r>
      <w:r w:rsidRPr="008061A3">
        <w:rPr>
          <w:rFonts w:eastAsia="STIX-Regular"/>
        </w:rPr>
        <w:t>, the State Intellectual Property Office of China (SIPO), the World Intellectual Property Organization’s Patentscope (</w:t>
      </w:r>
      <w:hyperlink r:id="rId11" w:history="1">
        <w:r w:rsidRPr="00F63231">
          <w:rPr>
            <w:rStyle w:val="Hyperlink"/>
            <w:rFonts w:eastAsia="STIX-Regular"/>
          </w:rPr>
          <w:t>https://www.wipo.int/patentscope/en/</w:t>
        </w:r>
      </w:hyperlink>
      <w:r>
        <w:rPr>
          <w:rFonts w:eastAsia="STIX-Regular"/>
        </w:rPr>
        <w:t>)</w:t>
      </w:r>
      <w:r w:rsidRPr="008061A3">
        <w:rPr>
          <w:rFonts w:eastAsia="STIX-Regular"/>
        </w:rPr>
        <w:t>, and the INCOPAT patent database (</w:t>
      </w:r>
      <w:hyperlink r:id="rId12" w:history="1">
        <w:r w:rsidRPr="00F63231">
          <w:rPr>
            <w:rStyle w:val="Hyperlink"/>
            <w:rFonts w:eastAsia="STIX-Regular"/>
          </w:rPr>
          <w:t>https://www.incopat.com</w:t>
        </w:r>
      </w:hyperlink>
      <w:r>
        <w:rPr>
          <w:rFonts w:eastAsia="STIX-Regular"/>
        </w:rPr>
        <w:t>)</w:t>
      </w:r>
      <w:r w:rsidRPr="008061A3">
        <w:rPr>
          <w:rFonts w:eastAsia="STIX-Regular"/>
        </w:rPr>
        <w:t>; access to INCOPAT may require a subscription. Green technology data were accessed via the WIPO GREEN platform (</w:t>
      </w:r>
      <w:hyperlink r:id="rId13" w:history="1">
        <w:r w:rsidRPr="00F63231">
          <w:rPr>
            <w:rStyle w:val="Hyperlink"/>
            <w:rFonts w:eastAsia="STIX-Regular"/>
          </w:rPr>
          <w:t>https://www.wipo.int/wipo-green/en/</w:t>
        </w:r>
      </w:hyperlink>
      <w:r>
        <w:rPr>
          <w:rFonts w:eastAsia="STIX-Regular"/>
        </w:rPr>
        <w:t>)</w:t>
      </w:r>
      <w:r w:rsidRPr="008061A3">
        <w:rPr>
          <w:rFonts w:eastAsia="STIX-Regular"/>
        </w:rPr>
        <w:t xml:space="preserve">. </w:t>
      </w:r>
      <w:r w:rsidR="003D0A73" w:rsidRPr="008061A3">
        <w:rPr>
          <w:rFonts w:eastAsia="STIX-Regular"/>
        </w:rPr>
        <w:t>Additional data on science and technology were sourced from the China Science and Technology Statistical Yearbook</w:t>
      </w:r>
      <w:r w:rsidR="003D0A73">
        <w:rPr>
          <w:rFonts w:eastAsia="STIX-Regular"/>
        </w:rPr>
        <w:t xml:space="preserve">. </w:t>
      </w:r>
      <w:r w:rsidR="008872DE">
        <w:rPr>
          <w:rFonts w:eastAsia="STIX-Regular"/>
        </w:rPr>
        <w:t>D</w:t>
      </w:r>
      <w:r w:rsidRPr="008061A3">
        <w:rPr>
          <w:rFonts w:eastAsia="STIX-Regular"/>
        </w:rPr>
        <w:t xml:space="preserve">ata </w:t>
      </w:r>
      <w:r w:rsidR="008872DE">
        <w:rPr>
          <w:rFonts w:eastAsia="STIX-Regular"/>
        </w:rPr>
        <w:t xml:space="preserve">time is from </w:t>
      </w:r>
      <w:r>
        <w:rPr>
          <w:rFonts w:eastAsia="STIX-Regular"/>
        </w:rPr>
        <w:t>20</w:t>
      </w:r>
      <w:r w:rsidR="008872DE">
        <w:rPr>
          <w:rFonts w:eastAsia="STIX-Regular"/>
        </w:rPr>
        <w:t>08</w:t>
      </w:r>
      <w:r>
        <w:rPr>
          <w:rFonts w:eastAsia="STIX-Regular"/>
        </w:rPr>
        <w:t xml:space="preserve"> </w:t>
      </w:r>
      <w:r w:rsidR="008872DE">
        <w:rPr>
          <w:rFonts w:eastAsia="STIX-Regular"/>
        </w:rPr>
        <w:t xml:space="preserve">to </w:t>
      </w:r>
      <w:r>
        <w:rPr>
          <w:rFonts w:eastAsia="STIX-Regular"/>
        </w:rPr>
        <w:t>2</w:t>
      </w:r>
      <w:r w:rsidR="008872DE">
        <w:rPr>
          <w:rFonts w:eastAsia="STIX-Regular"/>
        </w:rPr>
        <w:t>019</w:t>
      </w:r>
      <w:r w:rsidRPr="008061A3">
        <w:rPr>
          <w:rFonts w:eastAsia="STIX-Regular"/>
        </w:rPr>
        <w:t xml:space="preserve"> and </w:t>
      </w:r>
      <w:r w:rsidR="008872DE">
        <w:rPr>
          <w:rFonts w:eastAsia="STIX-Regular"/>
        </w:rPr>
        <w:t xml:space="preserve">is </w:t>
      </w:r>
      <w:r w:rsidRPr="008061A3">
        <w:rPr>
          <w:rFonts w:eastAsia="STIX-Regular"/>
        </w:rPr>
        <w:t xml:space="preserve">subject to the terms of use specified by each provider. </w:t>
      </w:r>
    </w:p>
    <w:p w14:paraId="7840F346" w14:textId="77777777" w:rsidR="008061A3" w:rsidRPr="008061A3" w:rsidRDefault="008061A3" w:rsidP="008061A3">
      <w:pPr>
        <w:pStyle w:val="Newparagraph"/>
        <w:ind w:firstLine="0"/>
      </w:pPr>
    </w:p>
    <w:p w14:paraId="01FAE182" w14:textId="77777777" w:rsidR="008061A3" w:rsidRPr="007F6C04" w:rsidRDefault="008061A3" w:rsidP="008061A3">
      <w:pPr>
        <w:pStyle w:val="Heading3"/>
      </w:pPr>
      <w:r w:rsidRPr="007F6C04">
        <w:t>3.1.3 Model Construction</w:t>
      </w:r>
    </w:p>
    <w:p w14:paraId="10A9D753" w14:textId="77777777" w:rsidR="008061A3" w:rsidRPr="007F6C04" w:rsidRDefault="008061A3" w:rsidP="008061A3">
      <w:pPr>
        <w:pStyle w:val="Heading4Paragraph"/>
        <w:rPr>
          <w:shd w:val="clear" w:color="auto" w:fill="FFFFFF"/>
        </w:rPr>
      </w:pPr>
      <w:r w:rsidRPr="007F6C04">
        <w:rPr>
          <w:shd w:val="clear" w:color="auto" w:fill="FFFFFF"/>
        </w:rPr>
        <w:t>3.1.3.1 Difference-in-difference</w:t>
      </w:r>
      <w:r>
        <w:rPr>
          <w:shd w:val="clear" w:color="auto" w:fill="FFFFFF"/>
        </w:rPr>
        <w:t>s</w:t>
      </w:r>
      <w:r w:rsidRPr="007F6C04">
        <w:rPr>
          <w:shd w:val="clear" w:color="auto" w:fill="FFFFFF"/>
        </w:rPr>
        <w:t xml:space="preserve"> model design</w:t>
      </w:r>
    </w:p>
    <w:p w14:paraId="5EB64D3D" w14:textId="77777777" w:rsidR="008061A3" w:rsidRPr="00046F57" w:rsidRDefault="008061A3" w:rsidP="008061A3">
      <w:pPr>
        <w:pStyle w:val="Paragraph"/>
        <w:jc w:val="both"/>
        <w:rPr>
          <w:rFonts w:eastAsia="CMR12"/>
          <w14:ligatures w14:val="standardContextual"/>
        </w:rPr>
      </w:pPr>
      <w:r w:rsidRPr="007F6C04">
        <w:rPr>
          <w:shd w:val="clear" w:color="auto" w:fill="FFFFFF"/>
        </w:rPr>
        <w:t xml:space="preserve">    </w:t>
      </w:r>
      <w:r w:rsidRPr="00046F57">
        <w:rPr>
          <w:shd w:val="clear" w:color="auto" w:fill="FFFFFF"/>
        </w:rPr>
        <w:t>The difference-in-differences (DID) model is a popular approach for assessing policy impacts or natural experiments, estimating causal effects by comparing outcome differences between treatment and control groups. This study employs the DID method to evaluate the impact of China’s CETS pilot policy on PGE in the coal-fired power industry across 30 provinces from 2008 to 2019. The policy began in 2013, setting 2013–2019 as the implementation period and 2008–2012 as the pre-policy period. The experimental group includes Beijing, Tianjin, Chongqing, Shanghai, Hubei, and Guangdong (including Shenzhen), with the remaining provinces as the control group</w:t>
      </w:r>
      <w:r w:rsidRPr="00046F57">
        <w:rPr>
          <w:rFonts w:eastAsia="CMR12"/>
          <w14:ligatures w14:val="standardContextual"/>
        </w:rPr>
        <w:t>. Thus, the following model is constructed:</w:t>
      </w:r>
    </w:p>
    <w:p w14:paraId="12BE15F3" w14:textId="5347F7C5" w:rsidR="008061A3" w:rsidRPr="00046F57" w:rsidRDefault="008061A3" w:rsidP="008747F0">
      <w:pPr>
        <w:pStyle w:val="Displayedequation"/>
        <w:jc w:val="left"/>
      </w:pPr>
      <m:oMath>
        <m:r>
          <w:rPr>
            <w:rFonts w:ascii="Cambria Math" w:hAnsi="Cambria Math"/>
          </w:rPr>
          <m:t>TF</m:t>
        </m:r>
        <m:sSub>
          <m:sSubPr>
            <m:ctrlPr>
              <w:rPr>
                <w:rFonts w:ascii="Cambria Math" w:hAnsi="Cambria Math"/>
              </w:rPr>
            </m:ctrlPr>
          </m:sSubPr>
          <m:e>
            <m:r>
              <w:rPr>
                <w:rFonts w:ascii="Cambria Math" w:hAnsi="Cambria Math"/>
              </w:rPr>
              <m:t>PGE</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α</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α</m:t>
            </m:r>
          </m:e>
          <m:sub>
            <m:r>
              <m:rPr>
                <m:sty m:val="p"/>
              </m:rPr>
              <w:rPr>
                <w:rFonts w:ascii="Cambria Math" w:hAnsi="Cambria Math"/>
              </w:rPr>
              <m:t>1</m:t>
            </m:r>
          </m:sub>
        </m:sSub>
        <m:sSub>
          <m:sSubPr>
            <m:ctrlPr>
              <w:rPr>
                <w:rFonts w:ascii="Cambria Math" w:hAnsi="Cambria Math"/>
              </w:rPr>
            </m:ctrlPr>
          </m:sSubPr>
          <m:e>
            <m:r>
              <w:rPr>
                <w:rFonts w:ascii="Cambria Math" w:hAnsi="Cambria Math"/>
              </w:rPr>
              <m:t>treat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post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δcontrol</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γ</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ε</m:t>
            </m:r>
          </m:e>
          <m:sub>
            <m:r>
              <w:rPr>
                <w:rFonts w:ascii="Cambria Math" w:hAnsi="Cambria Math"/>
              </w:rPr>
              <m:t>it</m:t>
            </m:r>
          </m:sub>
        </m:sSub>
        <m:r>
          <w:rPr>
            <w:rFonts w:ascii="Cambria Math" w:hAnsi="Cambria Math"/>
          </w:rPr>
          <m:t xml:space="preserve">                    </m:t>
        </m:r>
        <m:r>
          <w:rPr>
            <w:rFonts w:ascii="Cambria Math" w:hAnsi="Cambria Math"/>
          </w:rPr>
          <m:t xml:space="preserve">                  </m:t>
        </m:r>
        <m:r>
          <w:rPr>
            <w:rFonts w:ascii="Cambria Math" w:hAnsi="Cambria Math"/>
          </w:rPr>
          <m:t xml:space="preserve"> (4)</m:t>
        </m:r>
      </m:oMath>
      <w:r w:rsidRPr="00046F57">
        <w:t xml:space="preserve">                                  </w:t>
      </w:r>
    </w:p>
    <w:p w14:paraId="215CB743" w14:textId="497F5A17" w:rsidR="008061A3" w:rsidRPr="00046F57" w:rsidRDefault="008061A3" w:rsidP="008061A3">
      <w:pPr>
        <w:pStyle w:val="Newparagraph"/>
        <w:jc w:val="both"/>
        <w:rPr>
          <w:rFonts w:eastAsia="CMR12"/>
        </w:rPr>
      </w:pPr>
      <w:r w:rsidRPr="00046F57">
        <w:rPr>
          <w:rFonts w:eastAsia="CMR12"/>
        </w:rPr>
        <w:lastRenderedPageBreak/>
        <w:t xml:space="preserve">    Where </w:t>
      </w:r>
      <m:oMath>
        <m:r>
          <w:rPr>
            <w:rFonts w:ascii="Cambria Math" w:eastAsia="CMR12" w:hAnsi="Cambria Math"/>
          </w:rPr>
          <m:t>i</m:t>
        </m:r>
      </m:oMath>
      <w:r w:rsidRPr="00046F57">
        <w:rPr>
          <w:rFonts w:eastAsia="CMR12"/>
        </w:rPr>
        <w:t xml:space="preserve"> and </w:t>
      </w:r>
      <m:oMath>
        <m:r>
          <w:rPr>
            <w:rFonts w:ascii="Cambria Math" w:hAnsi="Cambria Math"/>
          </w:rPr>
          <m:t>t</m:t>
        </m:r>
      </m:oMath>
      <w:r w:rsidRPr="00046F57">
        <w:rPr>
          <w:rFonts w:eastAsia="CMR12"/>
        </w:rPr>
        <w:t xml:space="preserve"> represent province and year, respectively. TFPGE stands for total factor p</w:t>
      </w:r>
      <w:r>
        <w:rPr>
          <w:rFonts w:eastAsia="CMR12"/>
        </w:rPr>
        <w:t>o</w:t>
      </w:r>
      <w:r w:rsidRPr="00046F57">
        <w:rPr>
          <w:rFonts w:eastAsia="CMR12"/>
        </w:rPr>
        <w:t xml:space="preserve">wer generation efficiency. </w:t>
      </w:r>
      <m:oMath>
        <m:r>
          <w:rPr>
            <w:rFonts w:ascii="Cambria Math" w:hAnsi="Cambria Math"/>
          </w:rPr>
          <m:t>treat</m:t>
        </m:r>
      </m:oMath>
      <w:r w:rsidRPr="00046F57">
        <w:rPr>
          <w:rFonts w:eastAsia="CMR12"/>
        </w:rPr>
        <w:t xml:space="preserve"> denotes the province grouping variable, 1 for pilot provinces of CETS and 0 for non-pilot provinces.</w:t>
      </w:r>
      <m:oMath>
        <m:r>
          <w:rPr>
            <w:rFonts w:ascii="Cambria Math" w:eastAsia="CMR12" w:hAnsi="Cambria Math"/>
          </w:rPr>
          <m:t>post</m:t>
        </m:r>
      </m:oMath>
      <w:r w:rsidRPr="00046F57">
        <w:rPr>
          <w:rFonts w:eastAsia="CMR12"/>
        </w:rPr>
        <w:t xml:space="preserve"> is the time grouping variable, 1 for 2013–2018, and for 2008–2012 is 0. Controls are the set of control variables. </w:t>
      </w:r>
      <m:oMath>
        <m:r>
          <w:rPr>
            <w:rFonts w:ascii="Cambria Math" w:hAnsi="Cambria Math"/>
          </w:rPr>
          <m:t>γ</m:t>
        </m:r>
      </m:oMath>
      <w:r w:rsidRPr="00046F57">
        <w:rPr>
          <w:rFonts w:eastAsia="CMMI12"/>
        </w:rPr>
        <w:t xml:space="preserve"> </w:t>
      </w:r>
      <w:r w:rsidRPr="00046F57">
        <w:rPr>
          <w:rFonts w:eastAsia="CMR12"/>
        </w:rPr>
        <w:t xml:space="preserve">is the province-fixed effect that does not vary with time. </w:t>
      </w:r>
      <m:oMath>
        <m:r>
          <w:rPr>
            <w:rFonts w:ascii="Cambria Math" w:hAnsi="Cambria Math"/>
          </w:rPr>
          <m:t>θ</m:t>
        </m:r>
      </m:oMath>
      <w:r w:rsidRPr="00046F57">
        <w:rPr>
          <w:rFonts w:eastAsia="CMMI12"/>
        </w:rPr>
        <w:t xml:space="preserve"> </w:t>
      </w:r>
      <w:r w:rsidRPr="00046F57">
        <w:rPr>
          <w:rFonts w:eastAsia="CMR12"/>
        </w:rPr>
        <w:t xml:space="preserve">is the time-fixed effect. </w:t>
      </w:r>
      <m:oMath>
        <m:sSub>
          <m:sSubPr>
            <m:ctrlPr>
              <w:rPr>
                <w:rFonts w:ascii="Cambria Math" w:hAnsi="Cambria Math"/>
                <w:i/>
              </w:rPr>
            </m:ctrlPr>
          </m:sSubPr>
          <m:e>
            <m:r>
              <w:rPr>
                <w:rFonts w:ascii="Cambria Math" w:hAnsi="Cambria Math"/>
              </w:rPr>
              <m:t>ε</m:t>
            </m:r>
          </m:e>
          <m:sub>
            <m:r>
              <w:rPr>
                <w:rFonts w:ascii="Cambria Math" w:hAnsi="Cambria Math"/>
              </w:rPr>
              <m:t>it</m:t>
            </m:r>
          </m:sub>
        </m:sSub>
      </m:oMath>
      <w:r w:rsidRPr="00046F57">
        <w:rPr>
          <w:rFonts w:eastAsia="CMMI8"/>
        </w:rPr>
        <w:t xml:space="preserve"> </w:t>
      </w:r>
      <w:r w:rsidRPr="00046F57">
        <w:rPr>
          <w:rFonts w:eastAsia="CMR12"/>
        </w:rPr>
        <w:t xml:space="preserve">is the random error term. The impact of the CETS on TFPGE is estimated mainly by observing the coefficient of </w:t>
      </w:r>
      <m:oMath>
        <m:r>
          <w:rPr>
            <w:rFonts w:ascii="Cambria Math" w:hAnsi="Cambria Math"/>
          </w:rPr>
          <m:t>treat</m:t>
        </m:r>
        <m:r>
          <w:rPr>
            <w:rFonts w:ascii="Cambria Math" w:eastAsia="CMR12" w:hAnsi="Cambria Math"/>
          </w:rPr>
          <m:t>×post</m:t>
        </m:r>
      </m:oMath>
      <w:r w:rsidRPr="00046F57">
        <w:rPr>
          <w:rFonts w:eastAsia="CMR12"/>
        </w:rPr>
        <w:t>.</w:t>
      </w:r>
    </w:p>
    <w:p w14:paraId="03F87259" w14:textId="2C947F5F" w:rsidR="008061A3" w:rsidRDefault="008061A3" w:rsidP="008061A3">
      <w:pPr>
        <w:pStyle w:val="Heading4Paragraph"/>
        <w:rPr>
          <w:rFonts w:eastAsia="CMR12"/>
        </w:rPr>
      </w:pPr>
      <w:r>
        <w:rPr>
          <w:rFonts w:eastAsia="CMR12"/>
        </w:rPr>
        <w:t xml:space="preserve">3.1.3.2 Multi-Period DID model </w:t>
      </w:r>
    </w:p>
    <w:p w14:paraId="4E247FD2" w14:textId="77777777" w:rsidR="008061A3" w:rsidRPr="008061A3" w:rsidRDefault="008061A3" w:rsidP="008061A3">
      <w:pPr>
        <w:pStyle w:val="Newparagraph"/>
        <w:rPr>
          <w:rFonts w:eastAsia="CMR12"/>
        </w:rPr>
      </w:pPr>
    </w:p>
    <w:p w14:paraId="6D47692A" w14:textId="77777777" w:rsidR="008061A3" w:rsidRPr="00046F57" w:rsidRDefault="008061A3" w:rsidP="008061A3">
      <w:pPr>
        <w:pStyle w:val="Newparagraph"/>
        <w:ind w:firstLine="0"/>
        <w:jc w:val="both"/>
        <w:rPr>
          <w:color w:val="000000"/>
          <w:shd w:val="clear" w:color="auto" w:fill="FFFFFF"/>
        </w:rPr>
      </w:pPr>
      <w:r>
        <w:rPr>
          <w:rFonts w:eastAsia="CMR12"/>
          <w:sz w:val="20"/>
          <w:szCs w:val="20"/>
        </w:rPr>
        <w:t xml:space="preserve">   </w:t>
      </w:r>
      <w:r w:rsidRPr="00046F57">
        <w:rPr>
          <w:color w:val="000000"/>
          <w:shd w:val="clear" w:color="auto" w:fill="FFFFFF"/>
        </w:rPr>
        <w:t xml:space="preserve">The multi-period difference-in-differences (DID) method effectively captures variations between treatment and control groups before and after policy implementation, mitigating the impact of confounding factors, addressing endogeneity, and accommodating staggered policy rollouts across regions. This study leverages the carbon emission trading pilot as a quasi-natural experiment, employing a multi-period DID model to assess the impact of the CETS pilot program on TFPGE in China’s coal-fired power industry, following the methodology of </w:t>
      </w:r>
      <w:r w:rsidRPr="00046F57">
        <w:rPr>
          <w:color w:val="000000"/>
          <w:shd w:val="clear" w:color="auto" w:fill="FFFFFF"/>
        </w:rPr>
        <w:fldChar w:fldCharType="begin"/>
      </w:r>
      <w:r w:rsidRPr="00046F57">
        <w:rPr>
          <w:color w:val="000000"/>
          <w:shd w:val="clear" w:color="auto" w:fill="FFFFFF"/>
        </w:rPr>
        <w:instrText xml:space="preserve"> ADDIN ZOTERO_ITEM CSL_CITATION {"citationID":"XhXTs7tl","properties":{"formattedCitation":"(Xin-gang et al., 2025b)","plainCitation":"(Xin-gang et al., 2025b)","noteIndex":0},"citationItems":[{"id":813,"uris":["http://zotero.org/users/local/wH06Ygim/items/TQPC2AC8"],"itemData":{"id":813,"type":"article-journal","abstract":"Improving green total factor productivity (GTFP) in the power industry is crucial for achieving China's clean and low-carbon transition and sustainable economic growth. Green technological innovation (GTI) is a key factor driving carbon emissions reduction and improving economic efficiency in the power industry. Therefore, this study utilizes data from 30 provinces in China covering the period 2005–2021 and employs a multiple period difference-in-difference (DID) model to investigate the impact of the carbon trading pilot policy (CTPP) on GTFP in the power industry from the perspective of GTI. The results indicate the following: First, CTPP significantly enhances GTFP in the pilot regions of the power industry. Second, GTI plays a positive mediating role in the relationship between CTPP and GTFP in the power industry, validating the existence of Porter effect in China's power industry carbon emission trading system. Third, there are heterogeneities in the policy effects across the pilot regions, with Beijing and Guangdong achieving outstanding results in improving GTFP compared to other carbon trading pilots. Finally, relevant policy recommendations are provided for carbon market development and improving GTFP in the power industry.","container-title":"Journal of Renewable and Sustainable Energy","DOI":"10.1063/5.0235309","ISSN":"1941-7012","issue":"1","language":"en","page":"015906","source":"DOI.org (Crossref)","title":"Impact of carbon emissions trading on green total factor productivity of China's power industry: A green technology innovation perspective","title-short":"Impact of carbon emissions trading on green total factor productivity of China's power industry","volume":"17","author":[{"family":"Xin-gang","given":"Zhao"},{"family":"Xi","given":"Xu"},{"family":"Shuran","given":"Hu"},{"family":"Haowei","given":"Chen"}],"issued":{"date-parts":[["2025",1,1]]}}}],"schema":"https://github.com/citation-style-language/schema/raw/master/csl-citation.json"} </w:instrText>
      </w:r>
      <w:r w:rsidRPr="00046F57">
        <w:rPr>
          <w:color w:val="000000"/>
          <w:shd w:val="clear" w:color="auto" w:fill="FFFFFF"/>
        </w:rPr>
        <w:fldChar w:fldCharType="separate"/>
      </w:r>
      <w:r w:rsidRPr="00046F57">
        <w:t>(Xin-gang et al., 2025b)</w:t>
      </w:r>
      <w:r w:rsidRPr="00046F57">
        <w:rPr>
          <w:color w:val="000000"/>
          <w:shd w:val="clear" w:color="auto" w:fill="FFFFFF"/>
        </w:rPr>
        <w:fldChar w:fldCharType="end"/>
      </w:r>
      <w:r w:rsidRPr="00046F57">
        <w:rPr>
          <w:color w:val="000000"/>
          <w:shd w:val="clear" w:color="auto" w:fill="FFFFFF"/>
        </w:rPr>
        <w:t xml:space="preserve">). The benchmark regression model is constructed accordingly. </w:t>
      </w:r>
    </w:p>
    <w:p w14:paraId="679A703C" w14:textId="508EFAAE" w:rsidR="008061A3" w:rsidRPr="00046F57" w:rsidRDefault="008061A3" w:rsidP="008747F0">
      <w:pPr>
        <w:pStyle w:val="Displayedequation"/>
        <w:jc w:val="left"/>
      </w:pPr>
      <m:oMath>
        <m:r>
          <w:rPr>
            <w:rFonts w:ascii="Cambria Math" w:hAnsi="Cambria Math"/>
          </w:rPr>
          <m:t>TF</m:t>
        </m:r>
        <m:sSub>
          <m:sSubPr>
            <m:ctrlPr>
              <w:rPr>
                <w:rFonts w:ascii="Cambria Math" w:hAnsi="Cambria Math"/>
              </w:rPr>
            </m:ctrlPr>
          </m:sSubPr>
          <m:e>
            <m:r>
              <w:rPr>
                <w:rFonts w:ascii="Cambria Math" w:hAnsi="Cambria Math"/>
              </w:rPr>
              <m:t>PGE</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α</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α</m:t>
            </m:r>
          </m:e>
          <m:sub>
            <m:r>
              <m:rPr>
                <m:sty m:val="p"/>
              </m:rPr>
              <w:rPr>
                <w:rFonts w:ascii="Cambria Math" w:hAnsi="Cambria Math"/>
              </w:rPr>
              <m:t>1</m:t>
            </m:r>
          </m:sub>
        </m:sSub>
        <m:sSub>
          <m:sSubPr>
            <m:ctrlPr>
              <w:rPr>
                <w:rFonts w:ascii="Cambria Math" w:hAnsi="Cambria Math"/>
              </w:rPr>
            </m:ctrlPr>
          </m:sSubPr>
          <m:e>
            <m:r>
              <w:rPr>
                <w:rFonts w:ascii="Cambria Math" w:hAnsi="Cambria Math"/>
              </w:rPr>
              <m:t>treat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post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δcontrol</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γ</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ε</m:t>
            </m:r>
          </m:e>
          <m:sub>
            <m:r>
              <w:rPr>
                <w:rFonts w:ascii="Cambria Math" w:hAnsi="Cambria Math"/>
              </w:rPr>
              <m:t>it</m:t>
            </m:r>
          </m:sub>
        </m:sSub>
        <m:r>
          <w:rPr>
            <w:rFonts w:ascii="Cambria Math" w:hAnsi="Cambria Math"/>
          </w:rPr>
          <m:t xml:space="preserve">             </m:t>
        </m:r>
        <m:r>
          <w:rPr>
            <w:rFonts w:ascii="Cambria Math" w:hAnsi="Cambria Math"/>
          </w:rPr>
          <m:t xml:space="preserve">                           </m:t>
        </m:r>
        <m:r>
          <w:rPr>
            <w:rFonts w:ascii="Cambria Math" w:hAnsi="Cambria Math"/>
          </w:rPr>
          <m:t>(5)</m:t>
        </m:r>
      </m:oMath>
      <w:r w:rsidRPr="00046F57">
        <w:t xml:space="preserve">   </w:t>
      </w:r>
      <w:r>
        <w:t xml:space="preserve">      </w:t>
      </w:r>
      <w:r w:rsidRPr="00046F57">
        <w:t xml:space="preserve">                               </w:t>
      </w:r>
    </w:p>
    <w:p w14:paraId="2AD090EE" w14:textId="132C7BC2" w:rsidR="008061A3" w:rsidRPr="00046F57" w:rsidRDefault="008061A3" w:rsidP="008061A3">
      <w:pPr>
        <w:pStyle w:val="Newparagraph"/>
        <w:jc w:val="both"/>
        <w:rPr>
          <w:rFonts w:eastAsia="CMR12"/>
        </w:rPr>
      </w:pPr>
      <w:r w:rsidRPr="00046F57">
        <w:rPr>
          <w:rFonts w:eastAsia="CMR12"/>
        </w:rPr>
        <w:t xml:space="preserve">Where </w:t>
      </w:r>
      <m:oMath>
        <m:r>
          <w:rPr>
            <w:rFonts w:ascii="Cambria Math" w:eastAsia="CMR12" w:hAnsi="Cambria Math"/>
          </w:rPr>
          <m:t>i</m:t>
        </m:r>
      </m:oMath>
      <w:r w:rsidRPr="00046F57">
        <w:rPr>
          <w:rFonts w:eastAsia="CMR12"/>
        </w:rPr>
        <w:t xml:space="preserve"> and </w:t>
      </w:r>
      <m:oMath>
        <m:r>
          <w:rPr>
            <w:rFonts w:ascii="Cambria Math" w:hAnsi="Cambria Math"/>
          </w:rPr>
          <m:t>t</m:t>
        </m:r>
      </m:oMath>
      <w:r w:rsidRPr="00046F57">
        <w:rPr>
          <w:rFonts w:eastAsia="CMR12"/>
        </w:rPr>
        <w:t xml:space="preserve"> represent province and year, respectively. TFPGE stands for total factor p</w:t>
      </w:r>
      <w:r>
        <w:rPr>
          <w:rFonts w:eastAsia="CMR12"/>
        </w:rPr>
        <w:t>o</w:t>
      </w:r>
      <w:r w:rsidRPr="00046F57">
        <w:rPr>
          <w:rFonts w:eastAsia="CMR12"/>
        </w:rPr>
        <w:t xml:space="preserve">wer generation efficiency. </w:t>
      </w:r>
      <m:oMath>
        <m:r>
          <w:rPr>
            <w:rFonts w:ascii="Cambria Math" w:hAnsi="Cambria Math"/>
          </w:rPr>
          <m:t>treat</m:t>
        </m:r>
      </m:oMath>
      <w:r w:rsidRPr="00046F57">
        <w:rPr>
          <w:rFonts w:eastAsia="CMR12"/>
        </w:rPr>
        <w:t xml:space="preserve"> denotes the province grouping variable, 1 for pilot provinces of CETS and 0 for non-pilot provinces.</w:t>
      </w:r>
      <m:oMath>
        <m:r>
          <w:rPr>
            <w:rFonts w:ascii="Cambria Math" w:eastAsia="CMR12" w:hAnsi="Cambria Math"/>
          </w:rPr>
          <m:t xml:space="preserve"> post</m:t>
        </m:r>
      </m:oMath>
      <w:r w:rsidRPr="00046F57">
        <w:rPr>
          <w:rFonts w:eastAsia="CMR12"/>
        </w:rPr>
        <w:t xml:space="preserve"> is the time grouping variable, and in this paper, 2013 and 2014 are taken as policy implementation threshold, respectively, and  </w:t>
      </w:r>
      <m:oMath>
        <m:sSub>
          <m:sSubPr>
            <m:ctrlPr>
              <w:rPr>
                <w:rFonts w:ascii="Cambria Math" w:hAnsi="Cambria Math"/>
              </w:rPr>
            </m:ctrlPr>
          </m:sSubPr>
          <m:e>
            <m:r>
              <w:rPr>
                <w:rFonts w:ascii="Cambria Math" w:hAnsi="Cambria Math"/>
              </w:rPr>
              <m:t>post</m:t>
            </m:r>
          </m:e>
          <m:sub>
            <m:r>
              <w:rPr>
                <w:rFonts w:ascii="Cambria Math" w:hAnsi="Cambria Math"/>
              </w:rPr>
              <m:t>it</m:t>
            </m:r>
          </m:sub>
        </m:sSub>
        <m:r>
          <w:rPr>
            <w:rFonts w:ascii="Cambria Math" w:hAnsi="Cambria Math"/>
          </w:rPr>
          <m:t xml:space="preserve">= </m:t>
        </m:r>
      </m:oMath>
      <w:r w:rsidRPr="00046F57">
        <w:rPr>
          <w:rFonts w:eastAsia="CMR12"/>
        </w:rPr>
        <w:t xml:space="preserve">1 indicates that period after policy implementation, and </w:t>
      </w:r>
      <m:oMath>
        <m:sSub>
          <m:sSubPr>
            <m:ctrlPr>
              <w:rPr>
                <w:rFonts w:ascii="Cambria Math" w:hAnsi="Cambria Math"/>
              </w:rPr>
            </m:ctrlPr>
          </m:sSubPr>
          <m:e>
            <m:r>
              <w:rPr>
                <w:rFonts w:ascii="Cambria Math" w:hAnsi="Cambria Math"/>
              </w:rPr>
              <m:t>post</m:t>
            </m:r>
          </m:e>
          <m:sub>
            <m:r>
              <w:rPr>
                <w:rFonts w:ascii="Cambria Math" w:hAnsi="Cambria Math"/>
              </w:rPr>
              <m:t>it</m:t>
            </m:r>
          </m:sub>
        </m:sSub>
        <m:r>
          <w:rPr>
            <w:rFonts w:ascii="Cambria Math" w:hAnsi="Cambria Math"/>
          </w:rPr>
          <m:t xml:space="preserve">=0 </m:t>
        </m:r>
      </m:oMath>
      <w:r w:rsidRPr="00046F57">
        <w:rPr>
          <w:rFonts w:eastAsia="CMR12"/>
        </w:rPr>
        <w:t xml:space="preserve">represents the period before the policy implementation. Controls are the set of control variables. </w:t>
      </w:r>
      <m:oMath>
        <m:r>
          <w:rPr>
            <w:rFonts w:ascii="Cambria Math" w:hAnsi="Cambria Math"/>
          </w:rPr>
          <m:t>γ</m:t>
        </m:r>
      </m:oMath>
      <w:r w:rsidRPr="00046F57">
        <w:rPr>
          <w:rFonts w:eastAsia="CMMI12"/>
        </w:rPr>
        <w:t xml:space="preserve"> </w:t>
      </w:r>
      <w:r w:rsidRPr="00046F57">
        <w:rPr>
          <w:rFonts w:eastAsia="CMR12"/>
        </w:rPr>
        <w:t xml:space="preserve">is the province-fixed effect that does </w:t>
      </w:r>
      <w:r w:rsidRPr="00046F57">
        <w:rPr>
          <w:rFonts w:eastAsia="CMR12"/>
        </w:rPr>
        <w:lastRenderedPageBreak/>
        <w:t xml:space="preserve">not vary with time. </w:t>
      </w:r>
      <m:oMath>
        <m:r>
          <w:rPr>
            <w:rFonts w:ascii="Cambria Math" w:hAnsi="Cambria Math"/>
          </w:rPr>
          <m:t>θ</m:t>
        </m:r>
      </m:oMath>
      <w:r w:rsidRPr="00046F57">
        <w:rPr>
          <w:rFonts w:eastAsia="CMMI12"/>
        </w:rPr>
        <w:t xml:space="preserve"> </w:t>
      </w:r>
      <w:r w:rsidRPr="00046F57">
        <w:rPr>
          <w:rFonts w:eastAsia="CMR12"/>
        </w:rPr>
        <w:t xml:space="preserve">is the time-fixed effect. </w:t>
      </w:r>
      <m:oMath>
        <m:sSub>
          <m:sSubPr>
            <m:ctrlPr>
              <w:rPr>
                <w:rFonts w:ascii="Cambria Math" w:hAnsi="Cambria Math"/>
                <w:i/>
              </w:rPr>
            </m:ctrlPr>
          </m:sSubPr>
          <m:e>
            <m:r>
              <w:rPr>
                <w:rFonts w:ascii="Cambria Math" w:hAnsi="Cambria Math"/>
              </w:rPr>
              <m:t>ε</m:t>
            </m:r>
          </m:e>
          <m:sub>
            <m:r>
              <w:rPr>
                <w:rFonts w:ascii="Cambria Math" w:hAnsi="Cambria Math"/>
              </w:rPr>
              <m:t>it</m:t>
            </m:r>
          </m:sub>
        </m:sSub>
      </m:oMath>
      <w:r w:rsidRPr="00046F57">
        <w:rPr>
          <w:rFonts w:eastAsia="CMMI8"/>
        </w:rPr>
        <w:t xml:space="preserve"> </w:t>
      </w:r>
      <w:r w:rsidRPr="00046F57">
        <w:rPr>
          <w:rFonts w:eastAsia="CMR12"/>
        </w:rPr>
        <w:t xml:space="preserve">is the random error term. The impact of the CETS on TFPGE is estimated mainly by observing the coefficient of </w:t>
      </w:r>
      <m:oMath>
        <m:r>
          <w:rPr>
            <w:rFonts w:ascii="Cambria Math" w:hAnsi="Cambria Math"/>
          </w:rPr>
          <m:t>treat</m:t>
        </m:r>
        <m:r>
          <w:rPr>
            <w:rFonts w:ascii="Cambria Math" w:eastAsia="CMR12" w:hAnsi="Cambria Math"/>
          </w:rPr>
          <m:t>×post</m:t>
        </m:r>
      </m:oMath>
      <w:r w:rsidRPr="00046F57">
        <w:rPr>
          <w:rFonts w:eastAsia="CMR12"/>
        </w:rPr>
        <w:t>.</w:t>
      </w:r>
    </w:p>
    <w:p w14:paraId="1E54B9DA" w14:textId="77777777" w:rsidR="008061A3" w:rsidRPr="007F6C04" w:rsidRDefault="008061A3" w:rsidP="008061A3">
      <w:pPr>
        <w:pStyle w:val="Heading4Paragraph"/>
      </w:pPr>
      <w:r w:rsidRPr="007F6C04">
        <w:t xml:space="preserve">3.1.3.2 Model construction of </w:t>
      </w:r>
      <w:r>
        <w:t xml:space="preserve">the </w:t>
      </w:r>
      <w:r w:rsidRPr="007F6C04">
        <w:t>impact mechanism</w:t>
      </w:r>
    </w:p>
    <w:p w14:paraId="336AAD4C" w14:textId="77777777" w:rsidR="008061A3" w:rsidRPr="00834276" w:rsidRDefault="008061A3" w:rsidP="008061A3">
      <w:pPr>
        <w:pStyle w:val="Heading5"/>
      </w:pPr>
      <w:r w:rsidRPr="00834276">
        <w:t>3.1.3.2.1 Mediating effect model</w:t>
      </w:r>
    </w:p>
    <w:p w14:paraId="3EEDF187" w14:textId="66EB9E83" w:rsidR="008061A3" w:rsidRPr="00E46CC7" w:rsidRDefault="008061A3" w:rsidP="00E46CC7">
      <w:pPr>
        <w:pStyle w:val="Paragraph"/>
        <w:jc w:val="both"/>
        <w:rPr>
          <w:rFonts w:eastAsia="CMR12"/>
        </w:rPr>
      </w:pPr>
      <w:r w:rsidRPr="007F6C04">
        <w:rPr>
          <w:rFonts w:ascii="CMR12" w:eastAsia="CMR12" w:hAnsiTheme="minorHAnsi" w:cs="CMR12"/>
        </w:rPr>
        <w:t xml:space="preserve">    </w:t>
      </w:r>
      <w:r w:rsidRPr="00046F57">
        <w:rPr>
          <w:rFonts w:eastAsia="CMR12"/>
        </w:rPr>
        <w:t xml:space="preserve">To investigate the underlying mechanism, this study chooses environmental resource commitment at the local government level (ERC) and clean combustion technology Innovation (CCTI) as mediator variables. We first examine the impact of the CETS pilot policy on clean combustion technology innovation and environmental resource commitment using Eqs. (6) and (7), respectively. The specific steps are outlined below. </w:t>
      </w:r>
    </w:p>
    <w:p w14:paraId="4957A34E" w14:textId="35D16E0F" w:rsidR="008061A3" w:rsidRPr="00046F57" w:rsidRDefault="00000000" w:rsidP="008747F0">
      <w:pPr>
        <w:pStyle w:val="Displayedequation"/>
        <w:jc w:val="left"/>
        <w:rPr>
          <w:rFonts w:eastAsia="CMR12"/>
          <w14:ligatures w14:val="standardContextual"/>
        </w:rPr>
      </w:pPr>
      <m:oMath>
        <m:sSub>
          <m:sSubPr>
            <m:ctrlPr>
              <w:rPr>
                <w:rFonts w:ascii="Cambria Math" w:hAnsi="Cambria Math"/>
              </w:rPr>
            </m:ctrlPr>
          </m:sSubPr>
          <m:e>
            <m:r>
              <w:rPr>
                <w:rFonts w:ascii="Cambria Math" w:hAnsi="Cambria Math"/>
              </w:rPr>
              <m:t>Log</m:t>
            </m:r>
            <m:r>
              <m:rPr>
                <m:sty m:val="p"/>
              </m:rPr>
              <w:rPr>
                <w:rFonts w:ascii="Cambria Math" w:hAnsi="Cambria Math"/>
              </w:rPr>
              <m:t>(</m:t>
            </m:r>
            <m:r>
              <w:rPr>
                <w:rFonts w:ascii="Cambria Math" w:hAnsi="Cambria Math"/>
              </w:rPr>
              <m:t>ERC</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β</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β</m:t>
            </m:r>
          </m:e>
          <m:sub>
            <m:r>
              <m:rPr>
                <m:sty m:val="p"/>
              </m:rPr>
              <w:rPr>
                <w:rFonts w:ascii="Cambria Math" w:hAnsi="Cambria Math"/>
              </w:rPr>
              <m:t>1</m:t>
            </m:r>
          </m:sub>
        </m:sSub>
        <m:sSub>
          <m:sSubPr>
            <m:ctrlPr>
              <w:rPr>
                <w:rFonts w:ascii="Cambria Math" w:hAnsi="Cambria Math"/>
              </w:rPr>
            </m:ctrlPr>
          </m:sSubPr>
          <m:e>
            <m:r>
              <w:rPr>
                <w:rFonts w:ascii="Cambria Math" w:hAnsi="Cambria Math"/>
              </w:rPr>
              <m:t>treat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post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ρcontrol</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γ</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ε</m:t>
            </m:r>
          </m:e>
          <m:sub>
            <m:r>
              <w:rPr>
                <w:rFonts w:ascii="Cambria Math" w:hAnsi="Cambria Math"/>
              </w:rPr>
              <m:t>it</m:t>
            </m:r>
          </m:sub>
        </m:sSub>
      </m:oMath>
      <w:r w:rsidR="008061A3" w:rsidRPr="00046F57">
        <w:rPr>
          <w:rFonts w:eastAsia="CMR12"/>
        </w:rPr>
        <w:t xml:space="preserve">                           </w:t>
      </w:r>
      <w:r w:rsidR="008747F0">
        <w:rPr>
          <w:rFonts w:eastAsia="CMR12"/>
        </w:rPr>
        <w:t xml:space="preserve">      </w:t>
      </w:r>
      <w:r w:rsidR="008061A3" w:rsidRPr="00046F57">
        <w:rPr>
          <w:rFonts w:eastAsia="CMR12"/>
        </w:rPr>
        <w:t>(6)</w:t>
      </w:r>
    </w:p>
    <w:p w14:paraId="4220CA51" w14:textId="3BC91DCD" w:rsidR="008061A3" w:rsidRPr="00046F57" w:rsidRDefault="00000000" w:rsidP="008747F0">
      <w:pPr>
        <w:pStyle w:val="Displayedequation"/>
        <w:jc w:val="left"/>
        <w:rPr>
          <w:rFonts w:eastAsia="CMR12"/>
          <w14:ligatures w14:val="standardContextual"/>
        </w:rPr>
      </w:pPr>
      <m:oMath>
        <m:sSub>
          <m:sSubPr>
            <m:ctrlPr>
              <w:rPr>
                <w:rFonts w:ascii="Cambria Math" w:hAnsi="Cambria Math"/>
              </w:rPr>
            </m:ctrlPr>
          </m:sSubPr>
          <m:e>
            <m:r>
              <w:rPr>
                <w:rFonts w:ascii="Cambria Math" w:hAnsi="Cambria Math"/>
              </w:rPr>
              <m:t>Log</m:t>
            </m:r>
            <m:r>
              <m:rPr>
                <m:sty m:val="p"/>
              </m:rPr>
              <w:rPr>
                <w:rFonts w:ascii="Cambria Math" w:hAnsi="Cambria Math"/>
              </w:rPr>
              <m:t>(</m:t>
            </m:r>
            <m:r>
              <w:rPr>
                <w:rFonts w:ascii="Cambria Math" w:hAnsi="Cambria Math"/>
              </w:rPr>
              <m:t>CCTI</m:t>
            </m:r>
          </m:e>
          <m:sub>
            <m:r>
              <w:rPr>
                <w:rFonts w:ascii="Cambria Math" w:hAnsi="Cambria Math"/>
              </w:rPr>
              <m:t>it</m:t>
            </m:r>
          </m:sub>
        </m:sSub>
        <m:r>
          <m:rPr>
            <m:sty m:val="p"/>
          </m:rPr>
          <w:rPr>
            <w:rFonts w:ascii="Cambria Math" w:hAnsi="Cambria Math"/>
          </w:rPr>
          <m:t>)=</m:t>
        </m:r>
        <m:sSubSup>
          <m:sSubSupPr>
            <m:ctrlPr>
              <w:rPr>
                <w:rFonts w:ascii="Cambria Math" w:hAnsi="Cambria Math"/>
              </w:rPr>
            </m:ctrlPr>
          </m:sSubSupPr>
          <m:e>
            <m:r>
              <w:rPr>
                <w:rFonts w:ascii="Cambria Math" w:hAnsi="Cambria Math"/>
              </w:rPr>
              <m:t>β</m:t>
            </m:r>
          </m:e>
          <m:sub>
            <m:r>
              <m:rPr>
                <m:sty m:val="p"/>
              </m:rPr>
              <w:rPr>
                <w:rFonts w:ascii="Cambria Math" w:hAnsi="Cambria Math"/>
              </w:rPr>
              <m:t>0</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β</m:t>
            </m:r>
          </m:e>
          <m:sub>
            <m:r>
              <m:rPr>
                <m:sty m:val="p"/>
              </m:rPr>
              <w:rPr>
                <w:rFonts w:ascii="Cambria Math" w:hAnsi="Cambria Math"/>
              </w:rPr>
              <m:t>1</m:t>
            </m:r>
          </m:sub>
          <m:sup>
            <m:r>
              <m:rPr>
                <m:sty m:val="p"/>
              </m:rPr>
              <w:rPr>
                <w:rFonts w:ascii="Cambria Math" w:hAnsi="Cambria Math"/>
              </w:rPr>
              <m:t>'</m:t>
            </m:r>
          </m:sup>
        </m:sSubSup>
        <m:sSub>
          <m:sSubPr>
            <m:ctrlPr>
              <w:rPr>
                <w:rFonts w:ascii="Cambria Math" w:hAnsi="Cambria Math"/>
              </w:rPr>
            </m:ctrlPr>
          </m:sSubPr>
          <m:e>
            <m:r>
              <w:rPr>
                <w:rFonts w:ascii="Cambria Math" w:hAnsi="Cambria Math"/>
              </w:rPr>
              <m:t>treat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post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ρcontrol</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γ</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ε</m:t>
            </m:r>
          </m:e>
          <m:sub>
            <m:r>
              <w:rPr>
                <w:rFonts w:ascii="Cambria Math" w:hAnsi="Cambria Math"/>
              </w:rPr>
              <m:t>it</m:t>
            </m:r>
          </m:sub>
        </m:sSub>
      </m:oMath>
      <w:r w:rsidR="008061A3" w:rsidRPr="00046F57">
        <w:rPr>
          <w:rFonts w:eastAsia="CMR12"/>
        </w:rPr>
        <w:t xml:space="preserve">                        </w:t>
      </w:r>
      <w:r w:rsidR="008747F0">
        <w:rPr>
          <w:rFonts w:eastAsia="CMR12"/>
        </w:rPr>
        <w:t xml:space="preserve">      </w:t>
      </w:r>
      <w:r w:rsidR="008061A3" w:rsidRPr="00046F57">
        <w:rPr>
          <w:rFonts w:eastAsia="CMR12"/>
        </w:rPr>
        <w:t xml:space="preserve"> (7)</w:t>
      </w:r>
    </w:p>
    <w:p w14:paraId="7EFE5D3D" w14:textId="4B07E64E" w:rsidR="008061A3" w:rsidRPr="00046F57" w:rsidRDefault="008061A3" w:rsidP="008061A3">
      <w:pPr>
        <w:pStyle w:val="Newparagraph"/>
        <w:jc w:val="both"/>
        <w:rPr>
          <w:rFonts w:eastAsia="CMR12"/>
        </w:rPr>
      </w:pPr>
      <w:r w:rsidRPr="00046F57">
        <w:rPr>
          <w:rFonts w:eastAsia="CMR12"/>
        </w:rPr>
        <w:t xml:space="preserve">    We proceed to analyse the impact of environmental resource commitment at the local government level (ERC) and clean combustion technology Innovation (CCTI) on total factor generation efficiency using Eqs. (8) and (9), respectively.</w:t>
      </w:r>
    </w:p>
    <w:p w14:paraId="7F4BE8DD" w14:textId="3ABF7AF6" w:rsidR="008061A3" w:rsidRPr="00046F57" w:rsidRDefault="00000000" w:rsidP="008747F0">
      <w:pPr>
        <w:pStyle w:val="Displayedequation"/>
        <w:jc w:val="left"/>
        <w:rPr>
          <w:rFonts w:eastAsia="CMR12"/>
          <w14:ligatures w14:val="standardContextual"/>
        </w:rPr>
      </w:pPr>
      <m:oMath>
        <m:sSub>
          <m:sSubPr>
            <m:ctrlPr>
              <w:rPr>
                <w:rFonts w:ascii="Cambria Math" w:hAnsi="Cambria Math"/>
              </w:rPr>
            </m:ctrlPr>
          </m:sSubPr>
          <m:e>
            <m:r>
              <w:rPr>
                <w:rFonts w:ascii="Cambria Math" w:hAnsi="Cambria Math"/>
              </w:rPr>
              <m:t>TFPGE</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φ</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φ</m:t>
            </m:r>
          </m:e>
          <m:sub>
            <m:r>
              <m:rPr>
                <m:sty m:val="p"/>
              </m:rPr>
              <w:rPr>
                <w:rFonts w:ascii="Cambria Math" w:hAnsi="Cambria Math"/>
              </w:rPr>
              <m:t>1</m:t>
            </m:r>
          </m:sub>
        </m:sSub>
        <m:sSub>
          <m:sSubPr>
            <m:ctrlPr>
              <w:rPr>
                <w:rFonts w:ascii="Cambria Math" w:hAnsi="Cambria Math"/>
              </w:rPr>
            </m:ctrlPr>
          </m:sSubPr>
          <m:e>
            <m:r>
              <w:rPr>
                <w:rFonts w:ascii="Cambria Math" w:hAnsi="Cambria Math"/>
              </w:rPr>
              <m:t>treat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post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φ</m:t>
            </m:r>
          </m:e>
          <m:sub>
            <m:r>
              <m:rPr>
                <m:sty m:val="p"/>
              </m:rPr>
              <w:rPr>
                <w:rFonts w:ascii="Cambria Math" w:hAnsi="Cambria Math"/>
              </w:rPr>
              <m:t>2</m:t>
            </m:r>
          </m:sub>
        </m:sSub>
        <m:sSub>
          <m:sSubPr>
            <m:ctrlPr>
              <w:rPr>
                <w:rFonts w:ascii="Cambria Math" w:hAnsi="Cambria Math"/>
              </w:rPr>
            </m:ctrlPr>
          </m:sSubPr>
          <m:e>
            <m:r>
              <w:rPr>
                <w:rFonts w:ascii="Cambria Math" w:hAnsi="Cambria Math"/>
              </w:rPr>
              <m:t>Log</m:t>
            </m:r>
            <m:r>
              <m:rPr>
                <m:sty m:val="p"/>
              </m:rPr>
              <w:rPr>
                <w:rFonts w:ascii="Cambria Math" w:hAnsi="Cambria Math"/>
              </w:rPr>
              <m:t>(</m:t>
            </m:r>
            <m:r>
              <w:rPr>
                <w:rFonts w:ascii="Cambria Math" w:hAnsi="Cambria Math"/>
              </w:rPr>
              <m:t>ERC</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θcontrol</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γ</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ε</m:t>
            </m:r>
          </m:e>
          <m:sub>
            <m:r>
              <w:rPr>
                <w:rFonts w:ascii="Cambria Math" w:hAnsi="Cambria Math"/>
              </w:rPr>
              <m:t>it</m:t>
            </m:r>
          </m:sub>
        </m:sSub>
        <m:r>
          <w:rPr>
            <w:rFonts w:ascii="Cambria Math" w:hAnsi="Cambria Math"/>
          </w:rPr>
          <m:t xml:space="preserve"> </m:t>
        </m:r>
        <m:r>
          <w:rPr>
            <w:rFonts w:ascii="Cambria Math" w:hAnsi="Cambria Math"/>
          </w:rPr>
          <m:t xml:space="preserve">      </m:t>
        </m:r>
        <m:r>
          <w:rPr>
            <w:rFonts w:ascii="Cambria Math" w:hAnsi="Cambria Math"/>
          </w:rPr>
          <m:t>(8)</m:t>
        </m:r>
      </m:oMath>
      <w:r w:rsidR="008061A3" w:rsidRPr="00046F57">
        <w:rPr>
          <w:rFonts w:eastAsia="CMR12"/>
        </w:rPr>
        <w:t xml:space="preserve">    </w:t>
      </w:r>
    </w:p>
    <w:p w14:paraId="1E31624B" w14:textId="5EC5BE4C" w:rsidR="008061A3" w:rsidRPr="00046F57" w:rsidRDefault="00000000" w:rsidP="008061A3">
      <w:pPr>
        <w:pStyle w:val="Displayedequation"/>
        <w:jc w:val="left"/>
        <w:rPr>
          <w:rFonts w:eastAsia="CMR12"/>
          <w14:ligatures w14:val="standardContextual"/>
        </w:rPr>
      </w:pPr>
      <m:oMath>
        <m:sSub>
          <m:sSubPr>
            <m:ctrlPr>
              <w:rPr>
                <w:rFonts w:ascii="Cambria Math" w:hAnsi="Cambria Math"/>
              </w:rPr>
            </m:ctrlPr>
          </m:sSubPr>
          <m:e>
            <m:r>
              <w:rPr>
                <w:rFonts w:ascii="Cambria Math" w:hAnsi="Cambria Math"/>
              </w:rPr>
              <m:t>TFPGE</m:t>
            </m:r>
          </m:e>
          <m:sub>
            <m:r>
              <w:rPr>
                <w:rFonts w:ascii="Cambria Math" w:hAnsi="Cambria Math"/>
              </w:rPr>
              <m:t>it</m:t>
            </m:r>
          </m:sub>
        </m:sSub>
        <m:r>
          <m:rPr>
            <m:sty m:val="p"/>
          </m:rPr>
          <w:rPr>
            <w:rFonts w:ascii="Cambria Math" w:hAnsi="Cambria Math"/>
          </w:rPr>
          <m:t>=</m:t>
        </m:r>
        <m:sSubSup>
          <m:sSubSupPr>
            <m:ctrlPr>
              <w:rPr>
                <w:rFonts w:ascii="Cambria Math" w:hAnsi="Cambria Math"/>
              </w:rPr>
            </m:ctrlPr>
          </m:sSubSupPr>
          <m:e>
            <m:r>
              <w:rPr>
                <w:rFonts w:ascii="Cambria Math" w:hAnsi="Cambria Math"/>
              </w:rPr>
              <m:t>φ</m:t>
            </m:r>
          </m:e>
          <m:sub>
            <m:r>
              <m:rPr>
                <m:sty m:val="p"/>
              </m:rPr>
              <w:rPr>
                <w:rFonts w:ascii="Cambria Math" w:hAnsi="Cambria Math"/>
              </w:rPr>
              <m:t>0</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φ</m:t>
            </m:r>
          </m:e>
          <m:sub>
            <m:r>
              <m:rPr>
                <m:sty m:val="p"/>
              </m:rPr>
              <w:rPr>
                <w:rFonts w:ascii="Cambria Math" w:hAnsi="Cambria Math"/>
              </w:rPr>
              <m:t>1</m:t>
            </m:r>
          </m:sub>
          <m:sup>
            <m:r>
              <m:rPr>
                <m:sty m:val="p"/>
              </m:rPr>
              <w:rPr>
                <w:rFonts w:ascii="Cambria Math" w:hAnsi="Cambria Math"/>
              </w:rPr>
              <m:t>'</m:t>
            </m:r>
          </m:sup>
        </m:sSubSup>
        <m:sSub>
          <m:sSubPr>
            <m:ctrlPr>
              <w:rPr>
                <w:rFonts w:ascii="Cambria Math" w:hAnsi="Cambria Math"/>
              </w:rPr>
            </m:ctrlPr>
          </m:sSubPr>
          <m:e>
            <m:r>
              <w:rPr>
                <w:rFonts w:ascii="Cambria Math" w:hAnsi="Cambria Math"/>
              </w:rPr>
              <m:t>treat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post</m:t>
            </m:r>
          </m:e>
          <m:sub>
            <m:r>
              <w:rPr>
                <w:rFonts w:ascii="Cambria Math" w:hAnsi="Cambria Math"/>
              </w:rPr>
              <m:t>it</m:t>
            </m:r>
          </m:sub>
        </m:sSub>
        <m:r>
          <m:rPr>
            <m:sty m:val="p"/>
          </m:rPr>
          <w:rPr>
            <w:rFonts w:ascii="Cambria Math" w:hAnsi="Cambria Math"/>
          </w:rPr>
          <m:t>+</m:t>
        </m:r>
        <m:sSubSup>
          <m:sSubSupPr>
            <m:ctrlPr>
              <w:rPr>
                <w:rFonts w:ascii="Cambria Math" w:hAnsi="Cambria Math"/>
              </w:rPr>
            </m:ctrlPr>
          </m:sSubSupPr>
          <m:e>
            <m:r>
              <w:rPr>
                <w:rFonts w:ascii="Cambria Math" w:hAnsi="Cambria Math"/>
              </w:rPr>
              <m:t>φ</m:t>
            </m:r>
          </m:e>
          <m:sub>
            <m:r>
              <m:rPr>
                <m:sty m:val="p"/>
              </m:rPr>
              <w:rPr>
                <w:rFonts w:ascii="Cambria Math" w:hAnsi="Cambria Math"/>
              </w:rPr>
              <m:t>2</m:t>
            </m:r>
          </m:sub>
          <m:sup>
            <m:r>
              <m:rPr>
                <m:sty m:val="p"/>
              </m:rPr>
              <w:rPr>
                <w:rFonts w:ascii="Cambria Math" w:hAnsi="Cambria Math"/>
              </w:rPr>
              <m:t>'</m:t>
            </m:r>
          </m:sup>
        </m:sSubSup>
        <m:sSub>
          <m:sSubPr>
            <m:ctrlPr>
              <w:rPr>
                <w:rFonts w:ascii="Cambria Math" w:hAnsi="Cambria Math"/>
              </w:rPr>
            </m:ctrlPr>
          </m:sSubPr>
          <m:e>
            <m:r>
              <w:rPr>
                <w:rFonts w:ascii="Cambria Math" w:hAnsi="Cambria Math"/>
              </w:rPr>
              <m:t>Log</m:t>
            </m:r>
            <m:r>
              <m:rPr>
                <m:sty m:val="p"/>
              </m:rPr>
              <w:rPr>
                <w:rFonts w:ascii="Cambria Math" w:hAnsi="Cambria Math"/>
              </w:rPr>
              <m:t>(</m:t>
            </m:r>
            <m:r>
              <w:rPr>
                <w:rFonts w:ascii="Cambria Math" w:hAnsi="Cambria Math"/>
              </w:rPr>
              <m:t>CCTI</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θcontrol</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γ</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ε</m:t>
            </m:r>
          </m:e>
          <m:sub>
            <m:r>
              <w:rPr>
                <w:rFonts w:ascii="Cambria Math" w:hAnsi="Cambria Math"/>
              </w:rPr>
              <m:t>it</m:t>
            </m:r>
          </m:sub>
        </m:sSub>
        <m:r>
          <w:rPr>
            <w:rFonts w:ascii="Cambria Math" w:hAnsi="Cambria Math"/>
          </w:rPr>
          <m:t xml:space="preserve">      </m:t>
        </m:r>
        <m:r>
          <w:rPr>
            <w:rFonts w:ascii="Cambria Math" w:hAnsi="Cambria Math"/>
          </w:rPr>
          <m:t>(9)</m:t>
        </m:r>
      </m:oMath>
      <w:r w:rsidR="008061A3" w:rsidRPr="00046F57">
        <w:rPr>
          <w:rFonts w:eastAsia="CMR12"/>
        </w:rPr>
        <w:t xml:space="preserve"> </w:t>
      </w:r>
      <w:r w:rsidR="008061A3">
        <w:rPr>
          <w:rFonts w:eastAsia="CMR12"/>
        </w:rPr>
        <w:t xml:space="preserve">  </w:t>
      </w:r>
      <w:r w:rsidR="008061A3" w:rsidRPr="00046F57">
        <w:rPr>
          <w:rFonts w:eastAsia="CMR12"/>
        </w:rPr>
        <w:t xml:space="preserve">   </w:t>
      </w:r>
    </w:p>
    <w:p w14:paraId="6794A266" w14:textId="77777777" w:rsidR="008061A3" w:rsidRPr="00046F57" w:rsidRDefault="008061A3" w:rsidP="008061A3">
      <w:pPr>
        <w:pStyle w:val="Newparagraph"/>
        <w:jc w:val="both"/>
        <w:rPr>
          <w:rFonts w:eastAsia="CMR12"/>
        </w:rPr>
      </w:pPr>
      <w:r w:rsidRPr="00046F57">
        <w:rPr>
          <w:rFonts w:eastAsia="CMR12"/>
        </w:rPr>
        <w:t xml:space="preserve">    Where coefficients </w:t>
      </w:r>
      <m:oMath>
        <m:sSub>
          <m:sSubPr>
            <m:ctrlPr>
              <w:rPr>
                <w:rFonts w:ascii="Cambria Math" w:hAnsi="Cambria Math"/>
                <w:i/>
              </w:rPr>
            </m:ctrlPr>
          </m:sSubPr>
          <m:e>
            <m:r>
              <w:rPr>
                <w:rFonts w:ascii="Cambria Math" w:hAnsi="Cambria Math"/>
              </w:rPr>
              <m:t>β</m:t>
            </m:r>
          </m:e>
          <m:sub>
            <m:r>
              <w:rPr>
                <w:rFonts w:ascii="Cambria Math" w:hAnsi="Cambria Math"/>
              </w:rPr>
              <m:t>1</m:t>
            </m:r>
          </m:sub>
        </m:sSub>
      </m:oMath>
      <w:r w:rsidRPr="00046F57">
        <w:rPr>
          <w:rFonts w:eastAsia="CMR12"/>
        </w:rPr>
        <w:t xml:space="preserve"> and </w:t>
      </w:r>
      <m:oMath>
        <m:sSubSup>
          <m:sSubSupPr>
            <m:ctrlPr>
              <w:rPr>
                <w:rFonts w:ascii="Cambria Math" w:hAnsi="Cambria Math"/>
                <w:i/>
              </w:rPr>
            </m:ctrlPr>
          </m:sSubSupPr>
          <m:e>
            <m:r>
              <w:rPr>
                <w:rFonts w:ascii="Cambria Math" w:hAnsi="Cambria Math"/>
              </w:rPr>
              <m:t>β</m:t>
            </m:r>
          </m:e>
          <m:sub>
            <m:r>
              <w:rPr>
                <w:rFonts w:ascii="Cambria Math" w:hAnsi="Cambria Math"/>
              </w:rPr>
              <m:t>1</m:t>
            </m:r>
          </m:sub>
          <m:sup>
            <m:r>
              <w:rPr>
                <w:rFonts w:ascii="Cambria Math" w:hAnsi="Cambria Math"/>
              </w:rPr>
              <m:t>'</m:t>
            </m:r>
          </m:sup>
        </m:sSubSup>
      </m:oMath>
      <w:r w:rsidRPr="00046F57">
        <w:rPr>
          <w:rFonts w:eastAsia="CMSY6"/>
        </w:rPr>
        <w:t xml:space="preserve"> </w:t>
      </w:r>
      <w:r w:rsidRPr="00046F57">
        <w:rPr>
          <w:rFonts w:eastAsia="CMR12"/>
        </w:rPr>
        <w:t xml:space="preserve">Capture the impact of the CETS pilot policy on environmental resource commitment at the local government level and clean combustion technology Innovation, respectively. Meanwhile, coefficients </w:t>
      </w:r>
      <m:oMath>
        <m:sSub>
          <m:sSubPr>
            <m:ctrlPr>
              <w:rPr>
                <w:rFonts w:ascii="Cambria Math" w:hAnsi="Cambria Math"/>
                <w:i/>
              </w:rPr>
            </m:ctrlPr>
          </m:sSubPr>
          <m:e>
            <m:r>
              <w:rPr>
                <w:rFonts w:ascii="Cambria Math" w:hAnsi="Cambria Math"/>
              </w:rPr>
              <m:t>β</m:t>
            </m:r>
          </m:e>
          <m:sub>
            <m:r>
              <w:rPr>
                <w:rFonts w:ascii="Cambria Math" w:hAnsi="Cambria Math"/>
              </w:rPr>
              <m:t>1</m:t>
            </m:r>
          </m:sub>
        </m:sSub>
        <m:r>
          <w:rPr>
            <w:rFonts w:ascii="Cambria Math" w:eastAsia="CMR12" w:hAnsi="Cambria Math"/>
          </w:rPr>
          <m:t>×</m:t>
        </m:r>
        <m:sSub>
          <m:sSubPr>
            <m:ctrlPr>
              <w:rPr>
                <w:rFonts w:ascii="Cambria Math" w:hAnsi="Cambria Math"/>
                <w:i/>
              </w:rPr>
            </m:ctrlPr>
          </m:sSubPr>
          <m:e>
            <m:r>
              <w:rPr>
                <w:rFonts w:ascii="Cambria Math" w:hAnsi="Cambria Math"/>
              </w:rPr>
              <m:t>φ</m:t>
            </m:r>
          </m:e>
          <m:sub>
            <m:r>
              <w:rPr>
                <w:rFonts w:ascii="Cambria Math" w:hAnsi="Cambria Math"/>
              </w:rPr>
              <m:t>2</m:t>
            </m:r>
          </m:sub>
        </m:sSub>
      </m:oMath>
      <w:r w:rsidRPr="00046F57">
        <w:rPr>
          <w:rFonts w:eastAsia="CMR8"/>
        </w:rPr>
        <w:t xml:space="preserve"> </w:t>
      </w:r>
      <w:r w:rsidRPr="00046F57">
        <w:rPr>
          <w:rFonts w:eastAsia="CMR12"/>
        </w:rPr>
        <w:t xml:space="preserve">and </w:t>
      </w:r>
      <m:oMath>
        <m:sSubSup>
          <m:sSubSupPr>
            <m:ctrlPr>
              <w:rPr>
                <w:rFonts w:ascii="Cambria Math" w:hAnsi="Cambria Math"/>
                <w:i/>
              </w:rPr>
            </m:ctrlPr>
          </m:sSubSupPr>
          <m:e>
            <m:r>
              <w:rPr>
                <w:rFonts w:ascii="Cambria Math" w:hAnsi="Cambria Math"/>
              </w:rPr>
              <m:t>β</m:t>
            </m:r>
          </m:e>
          <m:sub>
            <m:r>
              <w:rPr>
                <w:rFonts w:ascii="Cambria Math" w:hAnsi="Cambria Math"/>
              </w:rPr>
              <m:t>1</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φ</m:t>
            </m:r>
          </m:e>
          <m:sub>
            <m:r>
              <w:rPr>
                <w:rFonts w:ascii="Cambria Math" w:hAnsi="Cambria Math"/>
              </w:rPr>
              <m:t>2</m:t>
            </m:r>
          </m:sub>
          <m:sup>
            <m:r>
              <w:rPr>
                <w:rFonts w:ascii="Cambria Math" w:hAnsi="Cambria Math"/>
              </w:rPr>
              <m:t>'</m:t>
            </m:r>
          </m:sup>
        </m:sSubSup>
      </m:oMath>
      <w:r w:rsidRPr="00046F57">
        <w:rPr>
          <w:rFonts w:eastAsia="CMMI12"/>
        </w:rPr>
        <w:t xml:space="preserve"> </w:t>
      </w:r>
      <w:r w:rsidRPr="00046F57">
        <w:rPr>
          <w:rFonts w:eastAsia="CMR12"/>
        </w:rPr>
        <w:t xml:space="preserve">capture the </w:t>
      </w:r>
      <w:r w:rsidRPr="00046F57">
        <w:rPr>
          <w:rFonts w:eastAsia="CMR12"/>
        </w:rPr>
        <w:lastRenderedPageBreak/>
        <w:t xml:space="preserve">indirect effect of the CETS pilot policy on green total factor energy productivity, while the coefficients </w:t>
      </w:r>
      <m:oMath>
        <m:sSub>
          <m:sSubPr>
            <m:ctrlPr>
              <w:rPr>
                <w:rFonts w:ascii="Cambria Math" w:hAnsi="Cambria Math"/>
                <w:i/>
              </w:rPr>
            </m:ctrlPr>
          </m:sSubPr>
          <m:e>
            <m:r>
              <w:rPr>
                <w:rFonts w:ascii="Cambria Math" w:hAnsi="Cambria Math"/>
              </w:rPr>
              <m:t>φ</m:t>
            </m:r>
          </m:e>
          <m:sub>
            <m:r>
              <w:rPr>
                <w:rFonts w:ascii="Cambria Math" w:hAnsi="Cambria Math"/>
              </w:rPr>
              <m:t>1</m:t>
            </m:r>
          </m:sub>
        </m:sSub>
      </m:oMath>
      <w:r w:rsidRPr="00046F57">
        <w:rPr>
          <w:rFonts w:eastAsia="CMR12"/>
        </w:rPr>
        <w:t xml:space="preserve">and </w:t>
      </w:r>
      <m:oMath>
        <m:sSubSup>
          <m:sSubSupPr>
            <m:ctrlPr>
              <w:rPr>
                <w:rFonts w:ascii="Cambria Math" w:hAnsi="Cambria Math"/>
                <w:i/>
              </w:rPr>
            </m:ctrlPr>
          </m:sSubSupPr>
          <m:e>
            <m:r>
              <w:rPr>
                <w:rFonts w:ascii="Cambria Math" w:hAnsi="Cambria Math"/>
              </w:rPr>
              <m:t>φ</m:t>
            </m:r>
          </m:e>
          <m:sub>
            <m:r>
              <w:rPr>
                <w:rFonts w:ascii="Cambria Math" w:hAnsi="Cambria Math"/>
              </w:rPr>
              <m:t>1</m:t>
            </m:r>
          </m:sub>
          <m:sup>
            <m:r>
              <w:rPr>
                <w:rFonts w:ascii="Cambria Math" w:hAnsi="Cambria Math"/>
              </w:rPr>
              <m:t>'</m:t>
            </m:r>
          </m:sup>
        </m:sSubSup>
      </m:oMath>
      <w:r w:rsidRPr="00046F57">
        <w:rPr>
          <w:rFonts w:eastAsia="CMR12"/>
        </w:rPr>
        <w:t xml:space="preserve"> Capture the direct effect of the CETS pilot policy on total factor power generation efficiency. The significance of these coefficients indicates a mediating effect.</w:t>
      </w:r>
    </w:p>
    <w:p w14:paraId="4C270403" w14:textId="77777777" w:rsidR="008061A3" w:rsidRPr="00834276" w:rsidRDefault="008061A3" w:rsidP="008061A3">
      <w:pPr>
        <w:pStyle w:val="Newparagraph"/>
        <w:jc w:val="both"/>
        <w:rPr>
          <w:rFonts w:eastAsia="CMR12"/>
        </w:rPr>
      </w:pPr>
    </w:p>
    <w:p w14:paraId="0FD1C295" w14:textId="77777777" w:rsidR="008061A3" w:rsidRPr="00834276" w:rsidRDefault="008061A3" w:rsidP="008061A3">
      <w:pPr>
        <w:pStyle w:val="Heading5"/>
        <w:rPr>
          <w:color w:val="auto"/>
        </w:rPr>
      </w:pPr>
      <w:r w:rsidRPr="00834276">
        <w:rPr>
          <w:color w:val="auto"/>
        </w:rPr>
        <w:t>3.1.3.2.2 Moderating effect model</w:t>
      </w:r>
    </w:p>
    <w:p w14:paraId="7D227949" w14:textId="7F418984" w:rsidR="008061A3" w:rsidRPr="00046F57" w:rsidRDefault="008061A3" w:rsidP="008061A3">
      <w:pPr>
        <w:pStyle w:val="Paragraph"/>
        <w:jc w:val="both"/>
        <w:rPr>
          <w:rFonts w:eastAsia="CMR12"/>
        </w:rPr>
      </w:pPr>
      <w:r w:rsidRPr="00046F57">
        <w:rPr>
          <w:rFonts w:eastAsia="CMR12"/>
        </w:rPr>
        <w:t xml:space="preserve">    This study mainly takes reference to the study of </w:t>
      </w:r>
      <w:r w:rsidRPr="00046F57">
        <w:rPr>
          <w:rFonts w:eastAsia="CMR12"/>
        </w:rPr>
        <w:fldChar w:fldCharType="begin"/>
      </w:r>
      <w:r w:rsidRPr="00046F57">
        <w:rPr>
          <w:rFonts w:eastAsia="CMR12"/>
        </w:rPr>
        <w:instrText xml:space="preserve"> ADDIN ZOTERO_ITEM CSL_CITATION {"citationID":"zJwBk4mv","properties":{"formattedCitation":"(X. Li et al., 2024)","plainCitation":"(X. Li et al., 2024)","noteIndex":0},"citationItems":[{"id":173,"uris":["http://zotero.org/users/local/wH06Ygim/items/UVVKQSY8"],"itemData":{"id":173,"type":"article-journal","abstract":"Abstract\n            The carbon emissions trading system (CETS) is a helpful policy instrument for separating carbon emissions from economic expansion, and it significantly impacts energy efficiency (EE). This study uses 30 Chinese provinces from 2007 to 2020 as its research samples, and classifies energy efficiency into single-factor energy efficiency (SFE) and total-factor energy efficiency (TFE), using the difference-in-differences model to examine the effect and mechanism of the CETS on EE. As an additional tool to assess the efficacy of the CETS, the corresponding evolution of the rebound effect of energy-related carbon emissions (RECE) is also calculated. This study shows that the CETS can significantly improve EE in China's pilot provinces. The influence mechanism indicates that the effect of the CETS on EE is influenced by the level of government governance, green innovation, and industrial structure optimization. Further study finds that after the CETS was carried out, the RECE in pilot provinces was higher than that in non-pilot provinces, and 31.4% of carbon emissions reduced by EE improvement rebounded. Therefore, the CETS has yet to realize its full carbon reduction potential. The study offers specific policy proposals for the enhancement of China's CETS in light of the aforementioned findings.","container-title":"Scientific Reports","DOI":"10.1038/s41598-023-50621-3","ISSN":"2045-2322","issue":"1","journalAbbreviation":"Sci Rep","language":"en","page":"279","source":"DOI.org (Crossref)","title":"Practical effects of carbon emissions trading system on energy efficiency","volume":"14","author":[{"family":"Li","given":"Xue"},{"family":"Cao","given":"Aochen"},{"family":"Zhang","given":"Yuhan"},{"family":"Zhao","given":"Yuting"},{"family":"Chen","given":"Lulu"},{"family":"Jiang","given":"Pan"},{"family":"Liu","given":"Liang"}],"issued":{"date-parts":[["2024",1,2]]}}}],"schema":"https://github.com/citation-style-language/schema/raw/master/csl-citation.json"} </w:instrText>
      </w:r>
      <w:r w:rsidRPr="00046F57">
        <w:rPr>
          <w:rFonts w:eastAsia="CMR12"/>
        </w:rPr>
        <w:fldChar w:fldCharType="separate"/>
      </w:r>
      <w:r w:rsidRPr="00046F57">
        <w:rPr>
          <w:rFonts w:eastAsia="CMR12"/>
        </w:rPr>
        <w:t>(X. Li et al., 2024)</w:t>
      </w:r>
      <w:r w:rsidRPr="00046F57">
        <w:rPr>
          <w:rFonts w:eastAsia="CMR12"/>
        </w:rPr>
        <w:fldChar w:fldCharType="end"/>
      </w:r>
      <w:r w:rsidRPr="00046F57">
        <w:rPr>
          <w:rFonts w:eastAsia="CMR12"/>
        </w:rPr>
        <w:t xml:space="preserve">. And embeds the </w:t>
      </w:r>
      <w:r w:rsidR="008747F0">
        <w:rPr>
          <w:rFonts w:eastAsia="CMR12"/>
        </w:rPr>
        <w:t xml:space="preserve">energy </w:t>
      </w:r>
      <w:r w:rsidRPr="00046F57">
        <w:rPr>
          <w:rFonts w:eastAsia="CMR12"/>
        </w:rPr>
        <w:t xml:space="preserve">structure upgrading (Str) variable affecting </w:t>
      </w:r>
      <w:r w:rsidR="008747F0">
        <w:rPr>
          <w:rFonts w:eastAsia="CMR12"/>
        </w:rPr>
        <w:t>TF</w:t>
      </w:r>
      <w:r w:rsidRPr="00046F57">
        <w:rPr>
          <w:rFonts w:eastAsia="CMR12"/>
        </w:rPr>
        <w:t xml:space="preserve">PGE into Eq. (1) to examine the significance level of the influence mechanism. </w:t>
      </w:r>
    </w:p>
    <w:p w14:paraId="2E93D756" w14:textId="0ECB0E9C" w:rsidR="008061A3" w:rsidRPr="00046F57" w:rsidRDefault="008061A3" w:rsidP="008061A3">
      <w:pPr>
        <w:pStyle w:val="Displayedequation"/>
        <w:jc w:val="left"/>
        <w:rPr>
          <w:rFonts w:eastAsia="CMR12"/>
          <w14:ligatures w14:val="standardContextual"/>
        </w:rPr>
      </w:pPr>
      <m:oMath>
        <m:r>
          <w:rPr>
            <w:rFonts w:ascii="Cambria Math" w:hAnsi="Cambria Math"/>
          </w:rPr>
          <m:t>TF</m:t>
        </m:r>
        <m:sSub>
          <m:sSubPr>
            <m:ctrlPr>
              <w:rPr>
                <w:rFonts w:ascii="Cambria Math" w:hAnsi="Cambria Math"/>
              </w:rPr>
            </m:ctrlPr>
          </m:sSubPr>
          <m:e>
            <m:r>
              <w:rPr>
                <w:rFonts w:ascii="Cambria Math" w:hAnsi="Cambria Math"/>
              </w:rPr>
              <m:t>PGE</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θ</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ω</m:t>
            </m:r>
          </m:e>
          <m:sub>
            <m:r>
              <m:rPr>
                <m:sty m:val="p"/>
              </m:rPr>
              <w:rPr>
                <w:rFonts w:ascii="Cambria Math" w:hAnsi="Cambria Math"/>
              </w:rPr>
              <m:t>1</m:t>
            </m:r>
          </m:sub>
        </m:sSub>
        <m:d>
          <m:dPr>
            <m:ctrlPr>
              <w:rPr>
                <w:rFonts w:ascii="Cambria Math" w:hAnsi="Cambria Math"/>
              </w:rPr>
            </m:ctrlPr>
          </m:dPr>
          <m:e>
            <m:sSub>
              <m:sSubPr>
                <m:ctrlPr>
                  <w:rPr>
                    <w:rFonts w:ascii="Cambria Math" w:hAnsi="Cambria Math"/>
                  </w:rPr>
                </m:ctrlPr>
              </m:sSubPr>
              <m:e>
                <m:r>
                  <w:rPr>
                    <w:rFonts w:ascii="Cambria Math" w:hAnsi="Cambria Math"/>
                  </w:rPr>
                  <m:t>treat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post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Str</m:t>
                </m:r>
              </m:e>
              <m:sub>
                <m:r>
                  <w:rPr>
                    <w:rFonts w:ascii="Cambria Math" w:hAnsi="Cambria Math"/>
                  </w:rPr>
                  <m:t>it</m:t>
                </m:r>
              </m:sub>
            </m:sSub>
          </m:e>
        </m:d>
        <m:r>
          <m:rPr>
            <m:sty m:val="p"/>
          </m:rPr>
          <w:rPr>
            <w:rFonts w:ascii="Cambria Math" w:hAnsi="Cambria Math"/>
          </w:rPr>
          <m:t>+</m:t>
        </m:r>
        <m:sSub>
          <m:sSubPr>
            <m:ctrlPr>
              <w:rPr>
                <w:rFonts w:ascii="Cambria Math" w:hAnsi="Cambria Math"/>
              </w:rPr>
            </m:ctrlPr>
          </m:sSubPr>
          <m:e>
            <m:r>
              <w:rPr>
                <w:rFonts w:ascii="Cambria Math" w:hAnsi="Cambria Math"/>
              </w:rPr>
              <m:t>ω</m:t>
            </m:r>
          </m:e>
          <m:sub>
            <m:r>
              <m:rPr>
                <m:sty m:val="p"/>
              </m:rPr>
              <w:rPr>
                <w:rFonts w:ascii="Cambria Math" w:hAnsi="Cambria Math"/>
              </w:rPr>
              <m:t>2</m:t>
            </m:r>
          </m:sub>
        </m:sSub>
        <m:d>
          <m:dPr>
            <m:ctrlPr>
              <w:rPr>
                <w:rFonts w:ascii="Cambria Math" w:hAnsi="Cambria Math"/>
              </w:rPr>
            </m:ctrlPr>
          </m:dPr>
          <m:e>
            <m:sSub>
              <m:sSubPr>
                <m:ctrlPr>
                  <w:rPr>
                    <w:rFonts w:ascii="Cambria Math" w:hAnsi="Cambria Math"/>
                  </w:rPr>
                </m:ctrlPr>
              </m:sSubPr>
              <m:e>
                <m:r>
                  <w:rPr>
                    <w:rFonts w:ascii="Cambria Math" w:hAnsi="Cambria Math"/>
                  </w:rPr>
                  <m:t>treat</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post</m:t>
                </m:r>
              </m:e>
              <m:sub>
                <m:r>
                  <w:rPr>
                    <w:rFonts w:ascii="Cambria Math" w:hAnsi="Cambria Math"/>
                  </w:rPr>
                  <m:t>it</m:t>
                </m:r>
              </m:sub>
            </m:sSub>
          </m:e>
        </m:d>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ω</m:t>
                </m:r>
              </m:e>
              <m:sub>
                <m:r>
                  <m:rPr>
                    <m:sty m:val="p"/>
                  </m:rPr>
                  <w:rPr>
                    <w:rFonts w:ascii="Cambria Math" w:hAnsi="Cambria Math"/>
                  </w:rPr>
                  <m:t>3</m:t>
                </m:r>
              </m:sub>
            </m:sSub>
            <m:r>
              <w:rPr>
                <w:rFonts w:ascii="Cambria Math" w:hAnsi="Cambria Math"/>
              </w:rPr>
              <m:t>Str</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τcontrol</m:t>
            </m:r>
          </m:e>
          <m:sub>
            <m:r>
              <w:rPr>
                <w:rFonts w:ascii="Cambria Math" w:hAnsi="Cambria Math"/>
              </w:rPr>
              <m:t>it</m:t>
            </m:r>
          </m:sub>
        </m:sSub>
        <m:r>
          <m:rPr>
            <m:sty m:val="p"/>
          </m:rPr>
          <w:rPr>
            <w:rFonts w:ascii="Cambria Math" w:hAnsi="Cambria Math"/>
          </w:rPr>
          <m:t>+</m:t>
        </m:r>
        <m:sSub>
          <m:sSubPr>
            <m:ctrlPr>
              <w:rPr>
                <w:rFonts w:ascii="Cambria Math" w:hAnsi="Cambria Math"/>
              </w:rPr>
            </m:ctrlPr>
          </m:sSubPr>
          <m:e>
            <m:r>
              <w:rPr>
                <w:rFonts w:ascii="Cambria Math" w:hAnsi="Cambria Math"/>
              </w:rPr>
              <m:t>γ</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ε</m:t>
            </m:r>
          </m:e>
          <m:sub>
            <m:r>
              <w:rPr>
                <w:rFonts w:ascii="Cambria Math" w:hAnsi="Cambria Math"/>
              </w:rPr>
              <m:t>it</m:t>
            </m:r>
          </m:sub>
        </m:sSub>
      </m:oMath>
      <w:r w:rsidRPr="00046F57">
        <w:rPr>
          <w:rFonts w:eastAsia="CMR12"/>
        </w:rPr>
        <w:t xml:space="preserve">   </w:t>
      </w:r>
      <w:r w:rsidR="00E46CC7">
        <w:rPr>
          <w:rFonts w:eastAsia="CMR12"/>
        </w:rPr>
        <w:t xml:space="preserve">                                                                                                (10)</w:t>
      </w:r>
      <w:r w:rsidRPr="00046F57">
        <w:rPr>
          <w:rFonts w:eastAsia="CMR12"/>
        </w:rPr>
        <w:t xml:space="preserve">                                                                                                                                     </w:t>
      </w:r>
    </w:p>
    <w:p w14:paraId="78B8D4C8" w14:textId="77777777" w:rsidR="008061A3" w:rsidRDefault="008061A3" w:rsidP="008061A3">
      <w:pPr>
        <w:pStyle w:val="Newparagraph"/>
        <w:jc w:val="both"/>
        <w:rPr>
          <w:rFonts w:eastAsia="CMR12"/>
        </w:rPr>
      </w:pPr>
      <w:r w:rsidRPr="00046F57">
        <w:rPr>
          <w:rFonts w:eastAsia="CMR12"/>
        </w:rPr>
        <w:t xml:space="preserve">    In this equation, the significance of the </w:t>
      </w:r>
      <m:oMath>
        <m:r>
          <w:rPr>
            <w:rFonts w:ascii="Cambria Math" w:hAnsi="Cambria Math"/>
          </w:rPr>
          <m:t>treat</m:t>
        </m:r>
        <m:r>
          <w:rPr>
            <w:rFonts w:ascii="Cambria Math" w:eastAsia="CMR12" w:hAnsi="Cambria Math"/>
          </w:rPr>
          <m:t>×post×Str</m:t>
        </m:r>
      </m:oMath>
      <w:r w:rsidRPr="00046F57">
        <w:rPr>
          <w:rFonts w:eastAsia="CMR12"/>
        </w:rPr>
        <w:t xml:space="preserve"> coefficient is mainly examined, and the remaining variables are defined in accordance with Eq. (1)</w:t>
      </w:r>
    </w:p>
    <w:p w14:paraId="134520EB" w14:textId="77777777" w:rsidR="003D0A73" w:rsidRDefault="003D0A73" w:rsidP="008061A3">
      <w:pPr>
        <w:pStyle w:val="Newparagraph"/>
        <w:jc w:val="both"/>
        <w:rPr>
          <w:rFonts w:eastAsia="CMR12"/>
        </w:rPr>
      </w:pPr>
    </w:p>
    <w:p w14:paraId="20FB46BB" w14:textId="77777777" w:rsidR="003D0A73" w:rsidRPr="00046F57" w:rsidRDefault="003D0A73" w:rsidP="008061A3">
      <w:pPr>
        <w:pStyle w:val="Newparagraph"/>
        <w:jc w:val="both"/>
        <w:rPr>
          <w:rFonts w:eastAsia="CMR12"/>
        </w:rPr>
      </w:pPr>
    </w:p>
    <w:p w14:paraId="2403C486" w14:textId="599CFAB7" w:rsidR="002358C6" w:rsidRPr="00F13F17" w:rsidRDefault="008061A3" w:rsidP="00E12BAC">
      <w:pPr>
        <w:spacing w:line="240" w:lineRule="auto"/>
        <w:rPr>
          <w:b/>
        </w:rPr>
      </w:pPr>
      <w:r>
        <w:rPr>
          <w:b/>
        </w:rPr>
        <w:t xml:space="preserve">4. </w:t>
      </w:r>
      <w:r w:rsidR="0023649F" w:rsidRPr="00F13F17">
        <w:rPr>
          <w:b/>
        </w:rPr>
        <w:t>RESULTS</w:t>
      </w:r>
      <w:r w:rsidR="0021546A" w:rsidRPr="00F13F17">
        <w:rPr>
          <w:b/>
        </w:rPr>
        <w:t xml:space="preserve"> </w:t>
      </w:r>
    </w:p>
    <w:p w14:paraId="3F9719C1" w14:textId="2DAE3EA6" w:rsidR="002358C6" w:rsidRDefault="002358C6" w:rsidP="00E12BAC">
      <w:pPr>
        <w:spacing w:line="240" w:lineRule="auto"/>
      </w:pPr>
    </w:p>
    <w:p w14:paraId="6EA056AB" w14:textId="5BDF7EAB" w:rsidR="008061A3" w:rsidRDefault="008061A3" w:rsidP="008430EF">
      <w:pPr>
        <w:pStyle w:val="TableofFigures"/>
        <w:tabs>
          <w:tab w:val="right" w:leader="dot" w:pos="9350"/>
        </w:tabs>
        <w:spacing w:before="240"/>
        <w:jc w:val="both"/>
        <w:rPr>
          <w:shd w:val="clear" w:color="auto" w:fill="FFFFFF"/>
        </w:rPr>
      </w:pPr>
      <w:bookmarkStart w:id="5" w:name="_Toc201821338"/>
      <w:bookmarkStart w:id="6" w:name="_Toc201944138"/>
      <w:bookmarkStart w:id="7" w:name="_Toc202190483"/>
      <w:bookmarkStart w:id="8" w:name="_Toc202192735"/>
      <w:r w:rsidRPr="00046F57">
        <w:rPr>
          <w:shd w:val="clear" w:color="auto" w:fill="FFFFFF"/>
        </w:rPr>
        <w:t>Using Equation (3), TFPGE was calculated for each province from 2008 to 2019</w:t>
      </w:r>
      <w:r w:rsidR="00E46CC7">
        <w:rPr>
          <w:shd w:val="clear" w:color="auto" w:fill="FFFFFF"/>
        </w:rPr>
        <w:t xml:space="preserve"> and results are shown in</w:t>
      </w:r>
      <w:r w:rsidRPr="00046F57">
        <w:rPr>
          <w:shd w:val="clear" w:color="auto" w:fill="FFFFFF"/>
        </w:rPr>
        <w:t xml:space="preserve"> </w:t>
      </w:r>
      <w:r w:rsidR="008872DE">
        <w:rPr>
          <w:shd w:val="clear" w:color="auto" w:fill="FFFFFF"/>
        </w:rPr>
        <w:t>s</w:t>
      </w:r>
      <w:r w:rsidR="008872DE" w:rsidRPr="008872DE">
        <w:t xml:space="preserve"> </w:t>
      </w:r>
      <w:r w:rsidR="008872DE" w:rsidRPr="008872DE">
        <w:rPr>
          <w:b/>
          <w:bCs/>
          <w:color w:val="2E74B5" w:themeColor="accent5" w:themeShade="BF"/>
          <w:shd w:val="clear" w:color="auto" w:fill="FFFFFF"/>
        </w:rPr>
        <w:t>Supplementary</w:t>
      </w:r>
      <w:r w:rsidR="008872DE" w:rsidRPr="008872DE">
        <w:rPr>
          <w:rStyle w:val="Hyperlink"/>
          <w:b/>
          <w:bCs/>
          <w:color w:val="4472C4" w:themeColor="accent1"/>
          <w:u w:val="none"/>
          <w:shd w:val="clear" w:color="auto" w:fill="FFFFFF"/>
        </w:rPr>
        <w:t xml:space="preserve"> </w:t>
      </w:r>
      <w:hyperlink w:anchor="_Toc202190484" w:history="1">
        <w:r w:rsidR="00E46CC7" w:rsidRPr="00E46CC7">
          <w:rPr>
            <w:rStyle w:val="Hyperlink"/>
            <w:b/>
            <w:bCs/>
            <w:noProof/>
            <w:u w:val="none"/>
          </w:rPr>
          <w:t xml:space="preserve">Table </w:t>
        </w:r>
        <w:r w:rsidR="008872DE">
          <w:rPr>
            <w:rStyle w:val="Hyperlink"/>
            <w:b/>
            <w:bCs/>
            <w:noProof/>
            <w:u w:val="none"/>
          </w:rPr>
          <w:t>S</w:t>
        </w:r>
        <w:r w:rsidR="00E46CC7" w:rsidRPr="00E46CC7">
          <w:rPr>
            <w:rStyle w:val="Hyperlink"/>
            <w:b/>
            <w:bCs/>
            <w:noProof/>
            <w:u w:val="none"/>
          </w:rPr>
          <w:t>2</w:t>
        </w:r>
        <w:r w:rsidR="00E46CC7">
          <w:rPr>
            <w:rStyle w:val="Hyperlink"/>
            <w:b/>
            <w:bCs/>
            <w:noProof/>
            <w:u w:val="none"/>
          </w:rPr>
          <w:t>.</w:t>
        </w:r>
        <w:r w:rsidR="00E46CC7" w:rsidRPr="00E46CC7">
          <w:rPr>
            <w:rStyle w:val="Hyperlink"/>
            <w:noProof/>
            <w:u w:val="none"/>
          </w:rPr>
          <w:t xml:space="preserve"> </w:t>
        </w:r>
      </w:hyperlink>
      <w:r w:rsidRPr="00046F57">
        <w:rPr>
          <w:shd w:val="clear" w:color="auto" w:fill="FFFFFF"/>
        </w:rPr>
        <w:t xml:space="preserve">High performers like Beijing (mean PGE = 1.03483), Shandong (1.02424), Qinghai (1.01346), Jiangsu (1.01283), Ningxia Hui (1.00928), Hainan (1.00805), and Shanghai (1.00037) benefit from advanced economic and technological capabilities. Provinces like Tianjin (0.9991), Xinjiang Uyghur (0.9934), Guangdong (0.99339), and Zhejiang (0.9912) show moderate efficiency, driven by high energy demands and industrial focus. Lower performers, including Henan (0.9754), Hubei (0.9706), Sichuan (0.9703), Liaoning </w:t>
      </w:r>
      <w:r w:rsidRPr="00046F57">
        <w:rPr>
          <w:shd w:val="clear" w:color="auto" w:fill="FFFFFF"/>
        </w:rPr>
        <w:lastRenderedPageBreak/>
        <w:t xml:space="preserve">(0.9627), Yunnan (0.9611), and Heilongjiang (0.9442), face inefficiencies, weak policy enforcement, and structural issues. </w:t>
      </w:r>
      <w:hyperlink w:anchor="_Toc202192736" w:history="1">
        <w:r w:rsidR="00E46CC7" w:rsidRPr="00E46CC7">
          <w:rPr>
            <w:rStyle w:val="Hyperlink"/>
            <w:b/>
            <w:bCs/>
            <w:noProof/>
            <w:u w:val="none"/>
          </w:rPr>
          <w:t>Figure. 1</w:t>
        </w:r>
        <w:r w:rsidR="00E46CC7" w:rsidRPr="00E46CC7">
          <w:rPr>
            <w:rStyle w:val="Hyperlink"/>
            <w:noProof/>
            <w:u w:val="none"/>
          </w:rPr>
          <w:t xml:space="preserve"> </w:t>
        </w:r>
      </w:hyperlink>
      <w:r w:rsidRPr="00046F57">
        <w:rPr>
          <w:shd w:val="clear" w:color="auto" w:fill="FFFFFF"/>
        </w:rPr>
        <w:t>visualizes these provincial TFPGE variations.</w:t>
      </w:r>
      <w:bookmarkEnd w:id="5"/>
      <w:bookmarkEnd w:id="6"/>
      <w:bookmarkEnd w:id="7"/>
      <w:bookmarkEnd w:id="8"/>
      <w:r w:rsidRPr="00046F57">
        <w:rPr>
          <w:shd w:val="clear" w:color="auto" w:fill="FFFFFF"/>
        </w:rPr>
        <w:t xml:space="preserve"> </w:t>
      </w:r>
    </w:p>
    <w:p w14:paraId="7A4F86FB" w14:textId="4F57FD46" w:rsidR="00E46CC7" w:rsidRPr="00E46CC7" w:rsidRDefault="00E46CC7" w:rsidP="00E46CC7">
      <w:pPr>
        <w:pStyle w:val="TableofFigures"/>
        <w:tabs>
          <w:tab w:val="right" w:leader="dot" w:pos="9350"/>
        </w:tabs>
        <w:rPr>
          <w:rFonts w:asciiTheme="minorHAnsi" w:eastAsiaTheme="minorEastAsia" w:hAnsiTheme="minorHAnsi" w:cstheme="minorBidi"/>
          <w:noProof/>
          <w:kern w:val="2"/>
          <w:lang w:val="en-US" w:eastAsia="zh-CN"/>
          <w14:ligatures w14:val="standardContextual"/>
        </w:rPr>
      </w:pPr>
      <w:r>
        <w:fldChar w:fldCharType="begin"/>
      </w:r>
      <w:r>
        <w:instrText xml:space="preserve"> TOC \h \z \c "Figure" </w:instrText>
      </w:r>
      <w:r>
        <w:fldChar w:fldCharType="separate"/>
      </w:r>
      <w:r>
        <w:fldChar w:fldCharType="end"/>
      </w:r>
    </w:p>
    <w:p w14:paraId="5EB2308D" w14:textId="77777777" w:rsidR="00E46CC7" w:rsidRDefault="00E46CC7" w:rsidP="00E46CC7">
      <w:pPr>
        <w:keepNext/>
        <w:jc w:val="center"/>
      </w:pPr>
      <w:r w:rsidRPr="008872DE">
        <w:rPr>
          <w:noProof/>
          <w:sz w:val="28"/>
          <w:szCs w:val="28"/>
          <w14:ligatures w14:val="standardContextual"/>
        </w:rPr>
        <w:drawing>
          <wp:inline distT="0" distB="0" distL="0" distR="0" wp14:anchorId="3C87ADE0" wp14:editId="4EBD6580">
            <wp:extent cx="4843549" cy="3330575"/>
            <wp:effectExtent l="0" t="0" r="0" b="3175"/>
            <wp:docPr id="12071928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192814" name="Picture 1207192814"/>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94263" cy="3365448"/>
                    </a:xfrm>
                    <a:prstGeom prst="rect">
                      <a:avLst/>
                    </a:prstGeom>
                  </pic:spPr>
                </pic:pic>
              </a:graphicData>
            </a:graphic>
          </wp:inline>
        </w:drawing>
      </w:r>
    </w:p>
    <w:p w14:paraId="4B5A350E" w14:textId="126D4E7D" w:rsidR="00E46CC7" w:rsidRDefault="00E46CC7" w:rsidP="00E46CC7">
      <w:pPr>
        <w:pStyle w:val="Caption"/>
        <w:rPr>
          <w:i w:val="0"/>
          <w:iCs w:val="0"/>
          <w:sz w:val="20"/>
          <w:szCs w:val="20"/>
        </w:rPr>
      </w:pPr>
      <w:bookmarkStart w:id="9" w:name="_Toc197415882"/>
      <w:bookmarkStart w:id="10" w:name="_Toc197417637"/>
      <w:bookmarkStart w:id="11" w:name="_Toc199250328"/>
      <w:bookmarkStart w:id="12" w:name="_Toc202192736"/>
      <w:r w:rsidRPr="005B6317">
        <w:rPr>
          <w:b/>
          <w:bCs/>
          <w:i w:val="0"/>
          <w:iCs w:val="0"/>
        </w:rPr>
        <w:t>Fig</w:t>
      </w:r>
      <w:r>
        <w:rPr>
          <w:b/>
          <w:bCs/>
          <w:i w:val="0"/>
          <w:iCs w:val="0"/>
        </w:rPr>
        <w:t>ure</w:t>
      </w:r>
      <w:r w:rsidRPr="005B6317">
        <w:rPr>
          <w:b/>
          <w:bCs/>
          <w:i w:val="0"/>
          <w:iCs w:val="0"/>
        </w:rPr>
        <w:t xml:space="preserve">. </w:t>
      </w:r>
      <w:r w:rsidRPr="005B6317">
        <w:rPr>
          <w:b/>
          <w:bCs/>
          <w:i w:val="0"/>
          <w:iCs w:val="0"/>
        </w:rPr>
        <w:fldChar w:fldCharType="begin"/>
      </w:r>
      <w:r w:rsidRPr="005B6317">
        <w:rPr>
          <w:b/>
          <w:bCs/>
          <w:i w:val="0"/>
          <w:iCs w:val="0"/>
        </w:rPr>
        <w:instrText xml:space="preserve"> SEQ Figure \* ARABIC </w:instrText>
      </w:r>
      <w:r w:rsidRPr="005B6317">
        <w:rPr>
          <w:b/>
          <w:bCs/>
          <w:i w:val="0"/>
          <w:iCs w:val="0"/>
        </w:rPr>
        <w:fldChar w:fldCharType="separate"/>
      </w:r>
      <w:r w:rsidRPr="005B6317">
        <w:rPr>
          <w:b/>
          <w:bCs/>
          <w:i w:val="0"/>
          <w:iCs w:val="0"/>
          <w:noProof/>
        </w:rPr>
        <w:t>1</w:t>
      </w:r>
      <w:r w:rsidRPr="005B6317">
        <w:rPr>
          <w:b/>
          <w:bCs/>
          <w:i w:val="0"/>
          <w:iCs w:val="0"/>
        </w:rPr>
        <w:fldChar w:fldCharType="end"/>
      </w:r>
      <w:r w:rsidRPr="00506FA9">
        <w:rPr>
          <w:i w:val="0"/>
          <w:iCs w:val="0"/>
        </w:rPr>
        <w:t xml:space="preserve"> </w:t>
      </w:r>
      <w:r w:rsidRPr="00506FA9">
        <w:rPr>
          <w:i w:val="0"/>
          <w:iCs w:val="0"/>
          <w:sz w:val="20"/>
          <w:szCs w:val="20"/>
        </w:rPr>
        <w:t>Provincial average TFGE scores</w:t>
      </w:r>
      <w:bookmarkEnd w:id="9"/>
      <w:bookmarkEnd w:id="10"/>
      <w:bookmarkEnd w:id="11"/>
      <w:r>
        <w:rPr>
          <w:i w:val="0"/>
          <w:iCs w:val="0"/>
          <w:sz w:val="20"/>
          <w:szCs w:val="20"/>
        </w:rPr>
        <w:t>.</w:t>
      </w:r>
      <w:bookmarkEnd w:id="12"/>
    </w:p>
    <w:p w14:paraId="4E73273B" w14:textId="77777777" w:rsidR="00A9042F" w:rsidRPr="00A9042F" w:rsidRDefault="00A9042F" w:rsidP="00A9042F">
      <w:pPr>
        <w:rPr>
          <w:lang w:val="en-GB" w:eastAsia="en-GB"/>
        </w:rPr>
      </w:pPr>
    </w:p>
    <w:p w14:paraId="18DE4C5A" w14:textId="638CF293" w:rsidR="008061A3" w:rsidRDefault="008061A3" w:rsidP="00E46CC7">
      <w:pPr>
        <w:pStyle w:val="TableofFigures"/>
        <w:tabs>
          <w:tab w:val="right" w:leader="dot" w:pos="9350"/>
        </w:tabs>
        <w:jc w:val="both"/>
        <w:rPr>
          <w:shd w:val="clear" w:color="auto" w:fill="FFFFFF"/>
        </w:rPr>
      </w:pPr>
      <w:r w:rsidRPr="00046F57">
        <w:t xml:space="preserve">    </w:t>
      </w:r>
      <w:bookmarkStart w:id="13" w:name="_Toc201821340"/>
      <w:bookmarkStart w:id="14" w:name="_Toc201944139"/>
      <w:bookmarkStart w:id="15" w:name="_Toc202192737"/>
      <w:r w:rsidRPr="00046F57">
        <w:rPr>
          <w:shd w:val="clear" w:color="auto" w:fill="FFFFFF"/>
        </w:rPr>
        <w:t xml:space="preserve">From 2008 to 2019, the eastern region led in TFPGE, surpassing 1, especially from 2014 to 2019, followed by the western region, while the central region lagged below 1. The East’s efficiency stems from advanced technology, high-quality imported coal, skilled labor, and strict regulations. The central region’s lower </w:t>
      </w:r>
      <w:r w:rsidR="008872DE">
        <w:rPr>
          <w:shd w:val="clear" w:color="auto" w:fill="FFFFFF"/>
        </w:rPr>
        <w:t>TF</w:t>
      </w:r>
      <w:r w:rsidRPr="00046F57">
        <w:rPr>
          <w:shd w:val="clear" w:color="auto" w:fill="FFFFFF"/>
        </w:rPr>
        <w:t xml:space="preserve">PGE results from slower technology adoption, limited R&amp;D, weaker policy enforcement due to industrial priorities, and reliance on inefficient subcritical plants. </w:t>
      </w:r>
      <w:hyperlink w:anchor="_Toc202192738" w:history="1">
        <w:r w:rsidR="00E46CC7" w:rsidRPr="00E46CC7">
          <w:rPr>
            <w:rStyle w:val="Hyperlink"/>
            <w:b/>
            <w:bCs/>
            <w:noProof/>
            <w:u w:val="none"/>
          </w:rPr>
          <w:t>Figure. 2</w:t>
        </w:r>
        <w:r w:rsidR="00E46CC7" w:rsidRPr="00E46CC7">
          <w:rPr>
            <w:rStyle w:val="Hyperlink"/>
            <w:noProof/>
            <w:u w:val="none"/>
          </w:rPr>
          <w:t xml:space="preserve"> </w:t>
        </w:r>
      </w:hyperlink>
      <w:r w:rsidRPr="00046F57">
        <w:rPr>
          <w:shd w:val="clear" w:color="auto" w:fill="FFFFFF"/>
        </w:rPr>
        <w:t xml:space="preserve">visualizes these regional </w:t>
      </w:r>
      <w:r w:rsidR="008872DE">
        <w:rPr>
          <w:shd w:val="clear" w:color="auto" w:fill="FFFFFF"/>
        </w:rPr>
        <w:t>TF</w:t>
      </w:r>
      <w:r w:rsidRPr="00046F57">
        <w:rPr>
          <w:shd w:val="clear" w:color="auto" w:fill="FFFFFF"/>
        </w:rPr>
        <w:t>PGE variations.</w:t>
      </w:r>
      <w:bookmarkEnd w:id="13"/>
      <w:bookmarkEnd w:id="14"/>
      <w:bookmarkEnd w:id="15"/>
    </w:p>
    <w:p w14:paraId="0338750E" w14:textId="77777777" w:rsidR="00E46CC7" w:rsidRDefault="00E46CC7" w:rsidP="008061A3">
      <w:pPr>
        <w:pStyle w:val="Newparagraph"/>
        <w:jc w:val="both"/>
        <w:rPr>
          <w:shd w:val="clear" w:color="auto" w:fill="FFFFFF"/>
        </w:rPr>
      </w:pPr>
    </w:p>
    <w:p w14:paraId="33C38ED7" w14:textId="77777777" w:rsidR="00E46CC7" w:rsidRDefault="00E46CC7" w:rsidP="00E46CC7">
      <w:pPr>
        <w:keepNext/>
        <w:autoSpaceDE w:val="0"/>
        <w:autoSpaceDN w:val="0"/>
        <w:adjustRightInd w:val="0"/>
        <w:jc w:val="center"/>
      </w:pPr>
      <w:bookmarkStart w:id="16" w:name="_Hlk199348162"/>
      <w:r>
        <w:rPr>
          <w:noProof/>
          <w14:ligatures w14:val="standardContextual"/>
        </w:rPr>
        <w:lastRenderedPageBreak/>
        <w:drawing>
          <wp:inline distT="0" distB="0" distL="0" distR="0" wp14:anchorId="21EF7B28" wp14:editId="7B547349">
            <wp:extent cx="4454889" cy="2768321"/>
            <wp:effectExtent l="0" t="0" r="3175" b="0"/>
            <wp:docPr id="119597160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971601" name="Picture 119597160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478044" cy="2782710"/>
                    </a:xfrm>
                    <a:prstGeom prst="rect">
                      <a:avLst/>
                    </a:prstGeom>
                  </pic:spPr>
                </pic:pic>
              </a:graphicData>
            </a:graphic>
          </wp:inline>
        </w:drawing>
      </w:r>
    </w:p>
    <w:p w14:paraId="33D955F6" w14:textId="61EBFFBA" w:rsidR="00E46CC7" w:rsidRPr="008872DE" w:rsidRDefault="00E46CC7" w:rsidP="00E46CC7">
      <w:pPr>
        <w:pStyle w:val="Caption"/>
        <w:rPr>
          <w:i w:val="0"/>
          <w:iCs w:val="0"/>
          <w:sz w:val="22"/>
          <w:szCs w:val="22"/>
        </w:rPr>
      </w:pPr>
      <w:bookmarkStart w:id="17" w:name="_Toc197415883"/>
      <w:bookmarkStart w:id="18" w:name="_Toc197417638"/>
      <w:bookmarkStart w:id="19" w:name="_Toc199250329"/>
      <w:bookmarkStart w:id="20" w:name="_Toc202192738"/>
      <w:r w:rsidRPr="008872DE">
        <w:rPr>
          <w:b/>
          <w:bCs/>
          <w:i w:val="0"/>
          <w:iCs w:val="0"/>
          <w:sz w:val="22"/>
          <w:szCs w:val="22"/>
        </w:rPr>
        <w:t>Fig</w:t>
      </w:r>
      <w:r w:rsidRPr="008872DE">
        <w:rPr>
          <w:b/>
          <w:bCs/>
          <w:i w:val="0"/>
          <w:iCs w:val="0"/>
          <w:sz w:val="22"/>
          <w:szCs w:val="22"/>
        </w:rPr>
        <w:t>ure</w:t>
      </w:r>
      <w:r w:rsidRPr="008872DE">
        <w:rPr>
          <w:b/>
          <w:bCs/>
          <w:i w:val="0"/>
          <w:iCs w:val="0"/>
          <w:sz w:val="22"/>
          <w:szCs w:val="22"/>
        </w:rPr>
        <w:t xml:space="preserve">. </w:t>
      </w:r>
      <w:r w:rsidRPr="008872DE">
        <w:rPr>
          <w:b/>
          <w:bCs/>
          <w:i w:val="0"/>
          <w:iCs w:val="0"/>
          <w:sz w:val="22"/>
          <w:szCs w:val="22"/>
        </w:rPr>
        <w:fldChar w:fldCharType="begin"/>
      </w:r>
      <w:r w:rsidRPr="008872DE">
        <w:rPr>
          <w:b/>
          <w:bCs/>
          <w:i w:val="0"/>
          <w:iCs w:val="0"/>
          <w:sz w:val="22"/>
          <w:szCs w:val="22"/>
        </w:rPr>
        <w:instrText xml:space="preserve"> SEQ Figure \* ARABIC </w:instrText>
      </w:r>
      <w:r w:rsidRPr="008872DE">
        <w:rPr>
          <w:b/>
          <w:bCs/>
          <w:i w:val="0"/>
          <w:iCs w:val="0"/>
          <w:sz w:val="22"/>
          <w:szCs w:val="22"/>
        </w:rPr>
        <w:fldChar w:fldCharType="separate"/>
      </w:r>
      <w:r w:rsidRPr="008872DE">
        <w:rPr>
          <w:b/>
          <w:bCs/>
          <w:i w:val="0"/>
          <w:iCs w:val="0"/>
          <w:noProof/>
          <w:sz w:val="22"/>
          <w:szCs w:val="22"/>
        </w:rPr>
        <w:t>2</w:t>
      </w:r>
      <w:r w:rsidRPr="008872DE">
        <w:rPr>
          <w:b/>
          <w:bCs/>
          <w:i w:val="0"/>
          <w:iCs w:val="0"/>
          <w:sz w:val="22"/>
          <w:szCs w:val="22"/>
        </w:rPr>
        <w:fldChar w:fldCharType="end"/>
      </w:r>
      <w:r w:rsidRPr="008872DE">
        <w:rPr>
          <w:i w:val="0"/>
          <w:iCs w:val="0"/>
          <w:sz w:val="22"/>
          <w:szCs w:val="22"/>
        </w:rPr>
        <w:t xml:space="preserve"> Average TF</w:t>
      </w:r>
      <w:r w:rsidR="008872DE" w:rsidRPr="008872DE">
        <w:rPr>
          <w:i w:val="0"/>
          <w:iCs w:val="0"/>
          <w:sz w:val="22"/>
          <w:szCs w:val="22"/>
        </w:rPr>
        <w:t>P</w:t>
      </w:r>
      <w:r w:rsidRPr="008872DE">
        <w:rPr>
          <w:i w:val="0"/>
          <w:iCs w:val="0"/>
          <w:sz w:val="22"/>
          <w:szCs w:val="22"/>
        </w:rPr>
        <w:t>GE values of the three main regions</w:t>
      </w:r>
      <w:bookmarkEnd w:id="17"/>
      <w:bookmarkEnd w:id="18"/>
      <w:bookmarkEnd w:id="19"/>
      <w:r w:rsidRPr="008872DE">
        <w:rPr>
          <w:i w:val="0"/>
          <w:iCs w:val="0"/>
          <w:sz w:val="22"/>
          <w:szCs w:val="22"/>
        </w:rPr>
        <w:t xml:space="preserve"> over time</w:t>
      </w:r>
      <w:bookmarkEnd w:id="16"/>
      <w:bookmarkEnd w:id="20"/>
      <w:r w:rsidRPr="008872DE">
        <w:rPr>
          <w:i w:val="0"/>
          <w:iCs w:val="0"/>
          <w:sz w:val="22"/>
          <w:szCs w:val="22"/>
        </w:rPr>
        <w:t>.</w:t>
      </w:r>
    </w:p>
    <w:p w14:paraId="6B046CD1" w14:textId="77777777" w:rsidR="00E46CC7" w:rsidRPr="00BF731B" w:rsidRDefault="00E46CC7" w:rsidP="008061A3">
      <w:pPr>
        <w:pStyle w:val="Newparagraph"/>
        <w:jc w:val="both"/>
        <w:rPr>
          <w:sz w:val="20"/>
          <w:szCs w:val="20"/>
          <w:shd w:val="clear" w:color="auto" w:fill="FFFFFF"/>
        </w:rPr>
      </w:pPr>
    </w:p>
    <w:p w14:paraId="5B2E3E3B" w14:textId="77777777" w:rsidR="008061A3" w:rsidRPr="00834276" w:rsidRDefault="008061A3" w:rsidP="008061A3">
      <w:pPr>
        <w:pStyle w:val="Heading2"/>
      </w:pPr>
      <w:r w:rsidRPr="007F6C04">
        <w:t>4.</w:t>
      </w:r>
      <w:r>
        <w:t>2</w:t>
      </w:r>
      <w:r w:rsidRPr="007F6C04">
        <w:t xml:space="preserve"> Baseline results</w:t>
      </w:r>
    </w:p>
    <w:p w14:paraId="181641C4" w14:textId="14576181" w:rsidR="008061A3" w:rsidRPr="008918DA" w:rsidRDefault="008061A3" w:rsidP="008430EF">
      <w:pPr>
        <w:pStyle w:val="TableofFigures"/>
        <w:tabs>
          <w:tab w:val="right" w:leader="dot" w:pos="9350"/>
        </w:tabs>
        <w:spacing w:before="240"/>
        <w:jc w:val="both"/>
      </w:pPr>
      <w:r w:rsidRPr="007F6C04">
        <w:t xml:space="preserve">    </w:t>
      </w:r>
      <w:bookmarkStart w:id="21" w:name="_Toc202190485"/>
      <w:r w:rsidR="00E46CC7" w:rsidRPr="00E46CC7">
        <w:rPr>
          <w:rStyle w:val="Hyperlink"/>
          <w:noProof/>
          <w:u w:val="none"/>
        </w:rPr>
        <w:fldChar w:fldCharType="begin"/>
      </w:r>
      <w:r w:rsidR="00E46CC7" w:rsidRPr="00E46CC7">
        <w:rPr>
          <w:rStyle w:val="Hyperlink"/>
          <w:noProof/>
          <w:u w:val="none"/>
        </w:rPr>
        <w:instrText xml:space="preserve"> </w:instrText>
      </w:r>
      <w:r w:rsidR="00E46CC7" w:rsidRPr="00E46CC7">
        <w:rPr>
          <w:noProof/>
        </w:rPr>
        <w:instrText>HYPERLINK \l "_Toc202190486"</w:instrText>
      </w:r>
      <w:r w:rsidR="00E46CC7" w:rsidRPr="00E46CC7">
        <w:rPr>
          <w:rStyle w:val="Hyperlink"/>
          <w:noProof/>
          <w:u w:val="none"/>
        </w:rPr>
        <w:instrText xml:space="preserve"> </w:instrText>
      </w:r>
      <w:r w:rsidR="00E46CC7" w:rsidRPr="00E46CC7">
        <w:rPr>
          <w:rStyle w:val="Hyperlink"/>
          <w:noProof/>
          <w:u w:val="none"/>
        </w:rPr>
      </w:r>
      <w:r w:rsidR="00E46CC7" w:rsidRPr="00E46CC7">
        <w:rPr>
          <w:rStyle w:val="Hyperlink"/>
          <w:noProof/>
          <w:u w:val="none"/>
        </w:rPr>
        <w:fldChar w:fldCharType="separate"/>
      </w:r>
      <w:r w:rsidR="00E46CC7" w:rsidRPr="00E46CC7">
        <w:rPr>
          <w:rStyle w:val="Hyperlink"/>
          <w:b/>
          <w:bCs/>
          <w:noProof/>
          <w:u w:val="none"/>
        </w:rPr>
        <w:t xml:space="preserve">Table </w:t>
      </w:r>
      <w:r w:rsidR="00F25894">
        <w:rPr>
          <w:rStyle w:val="Hyperlink"/>
          <w:b/>
          <w:bCs/>
          <w:noProof/>
          <w:u w:val="none"/>
        </w:rPr>
        <w:t>2</w:t>
      </w:r>
      <w:r w:rsidR="00E46CC7" w:rsidRPr="00E46CC7">
        <w:rPr>
          <w:shd w:val="clear" w:color="auto" w:fill="FFFFFF"/>
        </w:rPr>
        <w:t xml:space="preserve"> </w:t>
      </w:r>
      <w:r w:rsidR="00E46CC7" w:rsidRPr="00E46CC7">
        <w:rPr>
          <w:shd w:val="clear" w:color="auto" w:fill="FFFFFF"/>
        </w:rPr>
        <w:fldChar w:fldCharType="end"/>
      </w:r>
      <w:r w:rsidRPr="00046F57">
        <w:rPr>
          <w:shd w:val="clear" w:color="auto" w:fill="FFFFFF"/>
        </w:rPr>
        <w:t xml:space="preserve">examines the impact of the CETS pilot program on TFPGE in China’s coal-fired power industry using a </w:t>
      </w:r>
      <w:proofErr w:type="gramStart"/>
      <w:r w:rsidRPr="00046F57">
        <w:rPr>
          <w:shd w:val="clear" w:color="auto" w:fill="FFFFFF"/>
        </w:rPr>
        <w:t>benchmark model</w:t>
      </w:r>
      <w:r>
        <w:rPr>
          <w:shd w:val="clear" w:color="auto" w:fill="FFFFFF"/>
        </w:rPr>
        <w:t>s</w:t>
      </w:r>
      <w:proofErr w:type="gramEnd"/>
      <w:r w:rsidRPr="00046F57">
        <w:rPr>
          <w:shd w:val="clear" w:color="auto" w:fill="FFFFFF"/>
        </w:rPr>
        <w:t xml:space="preserve"> in Eqn 1 and 2 (traditional DID, and Multi-period DID, respectively). In column (1), the traditional DID model with province and year fixed effects and control variables shows a significant positive effect of the CETS pilot program (Treat x Post) on TFPGE in pilot provinces compared to non-pilot provinces post-policy implementation. In column (2), the Multi-Period DID model, which accounts for staggered policy timing, yields a slightly lower but still significant effect (coefficient = 0.0276, p &lt; 0.01), suggesting a 0.0276- unit increase. These results confirm Hypothesis 1, indicating that the CETS pilot program modestly enhances TFPGE by approximately 0.0276-0.0290 units in pilot regions, with the Multi-Period DID providing robust estimates for staggered policy implementation.</w:t>
      </w:r>
      <w:bookmarkEnd w:id="21"/>
      <w:r w:rsidRPr="00046F57">
        <w:rPr>
          <w:shd w:val="clear" w:color="auto" w:fill="FFFFFF"/>
        </w:rPr>
        <w:t xml:space="preserve"> </w:t>
      </w:r>
      <w:bookmarkStart w:id="22" w:name="_Hlk196841756"/>
    </w:p>
    <w:p w14:paraId="28E5B7FF" w14:textId="133014BE" w:rsidR="008061A3" w:rsidRPr="008872DE" w:rsidRDefault="008061A3" w:rsidP="008061A3">
      <w:pPr>
        <w:pStyle w:val="Tabletitle"/>
        <w:rPr>
          <w:rFonts w:eastAsia="CMR12"/>
        </w:rPr>
      </w:pPr>
      <w:bookmarkStart w:id="23" w:name="_Toc197416828"/>
      <w:bookmarkStart w:id="24" w:name="_Toc202190486"/>
      <w:r w:rsidRPr="008872DE">
        <w:rPr>
          <w:b/>
          <w:bCs/>
        </w:rPr>
        <w:t xml:space="preserve">Table </w:t>
      </w:r>
      <w:r w:rsidR="00F25894">
        <w:rPr>
          <w:b/>
          <w:bCs/>
        </w:rPr>
        <w:t>2</w:t>
      </w:r>
      <w:r w:rsidRPr="008872DE">
        <w:rPr>
          <w:b/>
          <w:bCs/>
        </w:rPr>
        <w:t>.</w:t>
      </w:r>
      <w:r w:rsidRPr="008872DE">
        <w:t xml:space="preserve"> </w:t>
      </w:r>
      <w:r w:rsidRPr="008872DE">
        <w:rPr>
          <w:rFonts w:eastAsia="CMR12"/>
        </w:rPr>
        <w:t>Overall impact of CETS pilot policy on Total factor Power Generation Efficiency</w:t>
      </w:r>
      <w:bookmarkEnd w:id="23"/>
      <w:bookmarkEnd w:id="24"/>
    </w:p>
    <w:tbl>
      <w:tblPr>
        <w:tblStyle w:val="PlainTable2"/>
        <w:tblW w:w="0" w:type="auto"/>
        <w:tblLook w:val="04A0" w:firstRow="1" w:lastRow="0" w:firstColumn="1" w:lastColumn="0" w:noHBand="0" w:noVBand="1"/>
      </w:tblPr>
      <w:tblGrid>
        <w:gridCol w:w="2122"/>
        <w:gridCol w:w="2268"/>
        <w:gridCol w:w="2409"/>
      </w:tblGrid>
      <w:tr w:rsidR="008061A3" w:rsidRPr="008872DE" w14:paraId="6A051FB5" w14:textId="77777777" w:rsidTr="008F7D7C">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122" w:type="dxa"/>
            <w:vMerge w:val="restart"/>
          </w:tcPr>
          <w:p w14:paraId="0FD08988" w14:textId="77777777" w:rsidR="008061A3" w:rsidRPr="008872DE" w:rsidRDefault="008061A3" w:rsidP="008F7D7C">
            <w:pPr>
              <w:autoSpaceDE w:val="0"/>
              <w:autoSpaceDN w:val="0"/>
              <w:adjustRightInd w:val="0"/>
              <w:rPr>
                <w:rFonts w:ascii="Times New Roman" w:eastAsia="CMR12" w:hAnsi="Times New Roman" w:cs="Times New Roman"/>
                <w:b w:val="0"/>
                <w:bCs w:val="0"/>
              </w:rPr>
            </w:pPr>
          </w:p>
          <w:p w14:paraId="4E38DC5B"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Variables</w:t>
            </w:r>
          </w:p>
        </w:tc>
        <w:tc>
          <w:tcPr>
            <w:tcW w:w="4677" w:type="dxa"/>
            <w:gridSpan w:val="2"/>
          </w:tcPr>
          <w:p w14:paraId="766A6081" w14:textId="77777777" w:rsidR="008061A3" w:rsidRPr="008872DE" w:rsidRDefault="008061A3" w:rsidP="008F7D7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b w:val="0"/>
                <w:bCs w:val="0"/>
              </w:rPr>
            </w:pPr>
            <w:r w:rsidRPr="008872DE">
              <w:rPr>
                <w:rFonts w:ascii="Times New Roman" w:eastAsia="CMR12" w:hAnsi="Times New Roman" w:cs="Times New Roman"/>
                <w:b w:val="0"/>
                <w:bCs w:val="0"/>
              </w:rPr>
              <w:t>Total factor power generation efficiency</w:t>
            </w:r>
          </w:p>
        </w:tc>
      </w:tr>
      <w:tr w:rsidR="008061A3" w:rsidRPr="008872DE" w14:paraId="2F1754D2"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122" w:type="dxa"/>
            <w:vMerge/>
          </w:tcPr>
          <w:p w14:paraId="619E63DB" w14:textId="77777777" w:rsidR="008061A3" w:rsidRPr="008872DE" w:rsidRDefault="008061A3" w:rsidP="008F7D7C">
            <w:pPr>
              <w:autoSpaceDE w:val="0"/>
              <w:autoSpaceDN w:val="0"/>
              <w:adjustRightInd w:val="0"/>
              <w:rPr>
                <w:rFonts w:ascii="Times New Roman" w:eastAsia="CMR12" w:hAnsi="Times New Roman" w:cs="Times New Roman"/>
                <w:b w:val="0"/>
                <w:bCs w:val="0"/>
              </w:rPr>
            </w:pPr>
          </w:p>
        </w:tc>
        <w:tc>
          <w:tcPr>
            <w:tcW w:w="2268" w:type="dxa"/>
          </w:tcPr>
          <w:p w14:paraId="1469A120"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Traditional DID</w:t>
            </w:r>
          </w:p>
        </w:tc>
        <w:tc>
          <w:tcPr>
            <w:tcW w:w="2409" w:type="dxa"/>
          </w:tcPr>
          <w:p w14:paraId="335716ED"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Multi-Period DID</w:t>
            </w:r>
          </w:p>
        </w:tc>
      </w:tr>
      <w:tr w:rsidR="008061A3" w:rsidRPr="008872DE" w14:paraId="78B40194"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122" w:type="dxa"/>
            <w:vMerge/>
            <w:tcBorders>
              <w:bottom w:val="single" w:sz="12" w:space="0" w:color="auto"/>
            </w:tcBorders>
          </w:tcPr>
          <w:p w14:paraId="2D1DC426" w14:textId="77777777" w:rsidR="008061A3" w:rsidRPr="008872DE" w:rsidRDefault="008061A3" w:rsidP="008F7D7C">
            <w:pPr>
              <w:autoSpaceDE w:val="0"/>
              <w:autoSpaceDN w:val="0"/>
              <w:adjustRightInd w:val="0"/>
              <w:rPr>
                <w:rFonts w:ascii="Times New Roman" w:eastAsia="CMR12" w:hAnsi="Times New Roman" w:cs="Times New Roman"/>
                <w:b w:val="0"/>
                <w:bCs w:val="0"/>
              </w:rPr>
            </w:pPr>
          </w:p>
        </w:tc>
        <w:tc>
          <w:tcPr>
            <w:tcW w:w="2268" w:type="dxa"/>
            <w:tcBorders>
              <w:bottom w:val="single" w:sz="12" w:space="0" w:color="auto"/>
            </w:tcBorders>
          </w:tcPr>
          <w:p w14:paraId="69FAA0B2"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w:t>
            </w:r>
          </w:p>
        </w:tc>
        <w:tc>
          <w:tcPr>
            <w:tcW w:w="2409" w:type="dxa"/>
            <w:tcBorders>
              <w:bottom w:val="single" w:sz="12" w:space="0" w:color="auto"/>
            </w:tcBorders>
          </w:tcPr>
          <w:p w14:paraId="4EF3C406"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(2)</w:t>
            </w:r>
          </w:p>
        </w:tc>
      </w:tr>
      <w:tr w:rsidR="008061A3" w:rsidRPr="008872DE" w14:paraId="2B8B3976"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122" w:type="dxa"/>
            <w:tcBorders>
              <w:top w:val="single" w:sz="12" w:space="0" w:color="auto"/>
            </w:tcBorders>
          </w:tcPr>
          <w:p w14:paraId="2CAD7E15"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Treat × Post</w:t>
            </w:r>
          </w:p>
        </w:tc>
        <w:tc>
          <w:tcPr>
            <w:tcW w:w="2268" w:type="dxa"/>
            <w:tcBorders>
              <w:top w:val="single" w:sz="12" w:space="0" w:color="auto"/>
            </w:tcBorders>
          </w:tcPr>
          <w:p w14:paraId="16CAB416"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0.0290*** (0.0072)</w:t>
            </w:r>
          </w:p>
        </w:tc>
        <w:tc>
          <w:tcPr>
            <w:tcW w:w="2409" w:type="dxa"/>
            <w:tcBorders>
              <w:top w:val="single" w:sz="12" w:space="0" w:color="auto"/>
            </w:tcBorders>
          </w:tcPr>
          <w:p w14:paraId="796B7C44"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0.0276*** (0.0071)</w:t>
            </w:r>
          </w:p>
        </w:tc>
      </w:tr>
      <w:tr w:rsidR="008061A3" w:rsidRPr="008872DE" w14:paraId="55E7FD68"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122" w:type="dxa"/>
          </w:tcPr>
          <w:p w14:paraId="172827FB"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Human.capital</w:t>
            </w:r>
          </w:p>
        </w:tc>
        <w:tc>
          <w:tcPr>
            <w:tcW w:w="2268" w:type="dxa"/>
          </w:tcPr>
          <w:p w14:paraId="7A927FED"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0.0084 (0.0392)</w:t>
            </w:r>
          </w:p>
        </w:tc>
        <w:tc>
          <w:tcPr>
            <w:tcW w:w="2409" w:type="dxa"/>
          </w:tcPr>
          <w:p w14:paraId="6142ACB1"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0.0178 (0.0513)</w:t>
            </w:r>
          </w:p>
        </w:tc>
      </w:tr>
      <w:tr w:rsidR="008061A3" w:rsidRPr="008872DE" w14:paraId="01A70BED"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122" w:type="dxa"/>
          </w:tcPr>
          <w:p w14:paraId="3FF16954"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GDPP</w:t>
            </w:r>
          </w:p>
        </w:tc>
        <w:tc>
          <w:tcPr>
            <w:tcW w:w="2268" w:type="dxa"/>
          </w:tcPr>
          <w:p w14:paraId="2B62A098"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-0.0936 (0.0945)</w:t>
            </w:r>
          </w:p>
        </w:tc>
        <w:tc>
          <w:tcPr>
            <w:tcW w:w="2409" w:type="dxa"/>
          </w:tcPr>
          <w:p w14:paraId="01B7C256"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0.1011*** (0.0182)</w:t>
            </w:r>
          </w:p>
        </w:tc>
      </w:tr>
      <w:tr w:rsidR="008061A3" w:rsidRPr="008872DE" w14:paraId="7210AD0D"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122" w:type="dxa"/>
          </w:tcPr>
          <w:p w14:paraId="00813CCD"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FDI</w:t>
            </w:r>
          </w:p>
        </w:tc>
        <w:tc>
          <w:tcPr>
            <w:tcW w:w="2268" w:type="dxa"/>
          </w:tcPr>
          <w:p w14:paraId="79062356"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0.0098 (0.0138)</w:t>
            </w:r>
          </w:p>
        </w:tc>
        <w:tc>
          <w:tcPr>
            <w:tcW w:w="2409" w:type="dxa"/>
          </w:tcPr>
          <w:p w14:paraId="7B868106"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0.0153 (0.0744)</w:t>
            </w:r>
          </w:p>
        </w:tc>
      </w:tr>
      <w:tr w:rsidR="008061A3" w:rsidRPr="008872DE" w14:paraId="063845D8"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122" w:type="dxa"/>
          </w:tcPr>
          <w:p w14:paraId="04CBBEE4"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EC</w:t>
            </w:r>
          </w:p>
        </w:tc>
        <w:tc>
          <w:tcPr>
            <w:tcW w:w="2268" w:type="dxa"/>
          </w:tcPr>
          <w:p w14:paraId="1766EB5A"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0.0772* (0.0330)</w:t>
            </w:r>
          </w:p>
        </w:tc>
        <w:tc>
          <w:tcPr>
            <w:tcW w:w="2409" w:type="dxa"/>
          </w:tcPr>
          <w:p w14:paraId="625F89D9"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0.0941* (0.0354)</w:t>
            </w:r>
          </w:p>
        </w:tc>
      </w:tr>
      <w:tr w:rsidR="008061A3" w:rsidRPr="008872DE" w14:paraId="04834263"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122" w:type="dxa"/>
          </w:tcPr>
          <w:p w14:paraId="37DC142F"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POPN</w:t>
            </w:r>
          </w:p>
        </w:tc>
        <w:tc>
          <w:tcPr>
            <w:tcW w:w="2268" w:type="dxa"/>
          </w:tcPr>
          <w:p w14:paraId="10FF2911"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0.1050 (0.0944)</w:t>
            </w:r>
          </w:p>
        </w:tc>
        <w:tc>
          <w:tcPr>
            <w:tcW w:w="2409" w:type="dxa"/>
          </w:tcPr>
          <w:p w14:paraId="27D72A6C"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0.0982. (0.0533)</w:t>
            </w:r>
          </w:p>
        </w:tc>
      </w:tr>
      <w:tr w:rsidR="008061A3" w:rsidRPr="008872DE" w14:paraId="55B7A768"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122" w:type="dxa"/>
          </w:tcPr>
          <w:p w14:paraId="3A967894"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IS</w:t>
            </w:r>
          </w:p>
        </w:tc>
        <w:tc>
          <w:tcPr>
            <w:tcW w:w="2268" w:type="dxa"/>
          </w:tcPr>
          <w:p w14:paraId="399C8A7A"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0.3659 (0.6986)</w:t>
            </w:r>
          </w:p>
        </w:tc>
        <w:tc>
          <w:tcPr>
            <w:tcW w:w="2409" w:type="dxa"/>
          </w:tcPr>
          <w:p w14:paraId="45793373"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0.2518 (0.8532)</w:t>
            </w:r>
          </w:p>
        </w:tc>
      </w:tr>
      <w:tr w:rsidR="008061A3" w:rsidRPr="008872DE" w14:paraId="6877EE53"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122" w:type="dxa"/>
          </w:tcPr>
          <w:p w14:paraId="019E1874"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Province FE</w:t>
            </w:r>
          </w:p>
        </w:tc>
        <w:tc>
          <w:tcPr>
            <w:tcW w:w="2268" w:type="dxa"/>
          </w:tcPr>
          <w:p w14:paraId="291CBB30"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2409" w:type="dxa"/>
          </w:tcPr>
          <w:p w14:paraId="4E45D7E3"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r>
      <w:tr w:rsidR="008061A3" w:rsidRPr="008872DE" w14:paraId="46F021EC"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122" w:type="dxa"/>
          </w:tcPr>
          <w:p w14:paraId="5BFED9FD"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Year FE</w:t>
            </w:r>
          </w:p>
        </w:tc>
        <w:tc>
          <w:tcPr>
            <w:tcW w:w="2268" w:type="dxa"/>
          </w:tcPr>
          <w:p w14:paraId="5AFDB811"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2409" w:type="dxa"/>
          </w:tcPr>
          <w:p w14:paraId="528B595D"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r>
      <w:tr w:rsidR="008061A3" w:rsidRPr="008872DE" w14:paraId="6E54B38E"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122" w:type="dxa"/>
          </w:tcPr>
          <w:p w14:paraId="05522C1C"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N</w:t>
            </w:r>
          </w:p>
        </w:tc>
        <w:tc>
          <w:tcPr>
            <w:tcW w:w="2268" w:type="dxa"/>
          </w:tcPr>
          <w:p w14:paraId="3C72EBB0"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360</w:t>
            </w:r>
          </w:p>
        </w:tc>
        <w:tc>
          <w:tcPr>
            <w:tcW w:w="2409" w:type="dxa"/>
          </w:tcPr>
          <w:p w14:paraId="1FC89DA6"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360</w:t>
            </w:r>
          </w:p>
        </w:tc>
      </w:tr>
      <w:tr w:rsidR="008061A3" w:rsidRPr="008872DE" w14:paraId="370959F0"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122" w:type="dxa"/>
          </w:tcPr>
          <w:p w14:paraId="42794F03"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R²</w:t>
            </w:r>
          </w:p>
        </w:tc>
        <w:tc>
          <w:tcPr>
            <w:tcW w:w="2268" w:type="dxa"/>
          </w:tcPr>
          <w:p w14:paraId="42D90CD1"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0.7073</w:t>
            </w:r>
          </w:p>
        </w:tc>
        <w:tc>
          <w:tcPr>
            <w:tcW w:w="2409" w:type="dxa"/>
          </w:tcPr>
          <w:p w14:paraId="1BCD88E4"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0.7041</w:t>
            </w:r>
          </w:p>
        </w:tc>
      </w:tr>
    </w:tbl>
    <w:p w14:paraId="7CCC0E1F" w14:textId="77777777" w:rsidR="008061A3" w:rsidRDefault="008061A3" w:rsidP="008061A3">
      <w:pPr>
        <w:autoSpaceDE w:val="0"/>
        <w:autoSpaceDN w:val="0"/>
        <w:adjustRightInd w:val="0"/>
        <w:rPr>
          <w:rFonts w:eastAsia="CMR12"/>
          <w:sz w:val="20"/>
          <w:szCs w:val="20"/>
          <w14:ligatures w14:val="standardContextual"/>
        </w:rPr>
      </w:pPr>
      <w:r w:rsidRPr="0031513B">
        <w:rPr>
          <w:rFonts w:eastAsia="CMR12"/>
          <w:sz w:val="20"/>
          <w:szCs w:val="20"/>
          <w14:ligatures w14:val="standardContextual"/>
        </w:rPr>
        <w:t>Robust standard errors clustered by province parentheses, and values ***, **, *, ., indicate 0.1%, 1%, 5%, and 10% significant levels, respectively. FE and N are the abbreviations for Fixed effects and number of observations, respectively.</w:t>
      </w:r>
    </w:p>
    <w:p w14:paraId="56CCEF35" w14:textId="77777777" w:rsidR="008061A3" w:rsidRPr="00046F57" w:rsidRDefault="008061A3" w:rsidP="008061A3">
      <w:pPr>
        <w:autoSpaceDE w:val="0"/>
        <w:autoSpaceDN w:val="0"/>
        <w:adjustRightInd w:val="0"/>
        <w:rPr>
          <w:rFonts w:eastAsia="CMR12"/>
          <w:sz w:val="20"/>
          <w:szCs w:val="20"/>
          <w:lang w:val="en-GB" w:eastAsia="en-GB"/>
          <w14:ligatures w14:val="standardContextual"/>
        </w:rPr>
      </w:pPr>
    </w:p>
    <w:bookmarkEnd w:id="22"/>
    <w:p w14:paraId="3B46B578" w14:textId="77777777" w:rsidR="008061A3" w:rsidRPr="00834276" w:rsidRDefault="008061A3" w:rsidP="008061A3">
      <w:pPr>
        <w:pStyle w:val="Heading2"/>
      </w:pPr>
      <w:r w:rsidRPr="007F6C04">
        <w:t>4.2 Parallel trend test</w:t>
      </w:r>
    </w:p>
    <w:p w14:paraId="0F200464" w14:textId="057C0656" w:rsidR="00E46CC7" w:rsidRPr="00E46CC7" w:rsidRDefault="008061A3" w:rsidP="008430EF">
      <w:pPr>
        <w:pStyle w:val="TableofFigures"/>
        <w:tabs>
          <w:tab w:val="right" w:leader="dot" w:pos="9350"/>
        </w:tabs>
        <w:spacing w:before="240"/>
        <w:jc w:val="both"/>
        <w:rPr>
          <w:shd w:val="clear" w:color="auto" w:fill="FFFFFF"/>
        </w:rPr>
      </w:pPr>
      <w:r w:rsidRPr="007F6C04">
        <w:rPr>
          <w:shd w:val="clear" w:color="auto" w:fill="FFFFFF"/>
        </w:rPr>
        <w:t xml:space="preserve">    </w:t>
      </w:r>
      <w:bookmarkStart w:id="25" w:name="_Toc201821344"/>
      <w:bookmarkStart w:id="26" w:name="_Toc201944141"/>
      <w:bookmarkStart w:id="27" w:name="_Toc202192741"/>
      <w:r w:rsidRPr="00046F57">
        <w:rPr>
          <w:shd w:val="clear" w:color="auto" w:fill="FFFFFF"/>
        </w:rPr>
        <w:t xml:space="preserve">The Difference-in-Differences method used as a quasi-experimental approach relies on a key assumption: the parallel trends hypothesis. This means that before the policy change, the Power Generation Efficiency of both the treatment group and the control group should follow the same trend over time. This study uses data from four years before and after the policy implementation </w:t>
      </w:r>
      <w:r w:rsidRPr="00046F57">
        <w:rPr>
          <w:shd w:val="clear" w:color="auto" w:fill="FFFFFF"/>
        </w:rPr>
        <w:lastRenderedPageBreak/>
        <w:t xml:space="preserve">to test the parallel trends assumption for PGE. The findings are shown in </w:t>
      </w:r>
      <w:hyperlink w:anchor="_Toc202192742" w:history="1">
        <w:r w:rsidR="00E46CC7" w:rsidRPr="00E46CC7">
          <w:rPr>
            <w:rStyle w:val="Hyperlink"/>
            <w:b/>
            <w:bCs/>
            <w:noProof/>
            <w:u w:val="none"/>
          </w:rPr>
          <w:t xml:space="preserve">Figure </w:t>
        </w:r>
        <w:r w:rsidR="008872DE">
          <w:rPr>
            <w:rStyle w:val="Hyperlink"/>
            <w:b/>
            <w:bCs/>
            <w:noProof/>
            <w:u w:val="none"/>
          </w:rPr>
          <w:t>3</w:t>
        </w:r>
        <w:r w:rsidR="00E46CC7" w:rsidRPr="00E46CC7">
          <w:rPr>
            <w:rStyle w:val="Hyperlink"/>
            <w:b/>
            <w:bCs/>
            <w:noProof/>
            <w:u w:val="none"/>
          </w:rPr>
          <w:t>.</w:t>
        </w:r>
        <w:r w:rsidR="00E46CC7" w:rsidRPr="00E46CC7">
          <w:rPr>
            <w:rStyle w:val="Hyperlink"/>
            <w:noProof/>
            <w:u w:val="none"/>
          </w:rPr>
          <w:t xml:space="preserve"> </w:t>
        </w:r>
      </w:hyperlink>
      <w:r w:rsidRPr="00046F57">
        <w:rPr>
          <w:shd w:val="clear" w:color="auto" w:fill="FFFFFF"/>
        </w:rPr>
        <w:t>Before the CETS pilot policy began, the estimated coefficients for the treatment and control groups varied slightly around 0 and stayed within the 95% confidence interval, showing no significant difference. This supports the parallel trends assumption.</w:t>
      </w:r>
      <w:bookmarkEnd w:id="25"/>
      <w:bookmarkEnd w:id="26"/>
      <w:bookmarkEnd w:id="27"/>
    </w:p>
    <w:p w14:paraId="3DB29C1F" w14:textId="77777777" w:rsidR="00E46CC7" w:rsidRDefault="00E46CC7" w:rsidP="00E46CC7">
      <w:pPr>
        <w:keepNext/>
        <w:autoSpaceDE w:val="0"/>
        <w:autoSpaceDN w:val="0"/>
        <w:adjustRightInd w:val="0"/>
        <w:jc w:val="center"/>
      </w:pPr>
      <w:bookmarkStart w:id="28" w:name="_Hlk199348300"/>
      <w:r>
        <w:rPr>
          <w:noProof/>
          <w14:ligatures w14:val="standardContextual"/>
        </w:rPr>
        <w:drawing>
          <wp:inline distT="0" distB="0" distL="0" distR="0" wp14:anchorId="3B273C32" wp14:editId="323689FD">
            <wp:extent cx="4469634" cy="3258589"/>
            <wp:effectExtent l="0" t="0" r="7620" b="0"/>
            <wp:docPr id="14644144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414429" name="Picture 146441442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533230" cy="3304954"/>
                    </a:xfrm>
                    <a:prstGeom prst="rect">
                      <a:avLst/>
                    </a:prstGeom>
                  </pic:spPr>
                </pic:pic>
              </a:graphicData>
            </a:graphic>
          </wp:inline>
        </w:drawing>
      </w:r>
    </w:p>
    <w:p w14:paraId="081C2795" w14:textId="1A35C51F" w:rsidR="00E46CC7" w:rsidRDefault="00E46CC7" w:rsidP="00E46CC7">
      <w:pPr>
        <w:pStyle w:val="Caption"/>
        <w:rPr>
          <w:i w:val="0"/>
          <w:iCs w:val="0"/>
          <w:color w:val="auto"/>
          <w:sz w:val="22"/>
          <w:szCs w:val="22"/>
        </w:rPr>
      </w:pPr>
      <w:bookmarkStart w:id="29" w:name="_Toc197415885"/>
      <w:bookmarkStart w:id="30" w:name="_Toc197417640"/>
      <w:bookmarkStart w:id="31" w:name="_Toc199250331"/>
      <w:bookmarkStart w:id="32" w:name="_Toc202192742"/>
      <w:r w:rsidRPr="008872DE">
        <w:rPr>
          <w:b/>
          <w:bCs/>
          <w:i w:val="0"/>
          <w:iCs w:val="0"/>
          <w:sz w:val="22"/>
          <w:szCs w:val="22"/>
        </w:rPr>
        <w:t>Fig</w:t>
      </w:r>
      <w:r w:rsidRPr="008872DE">
        <w:rPr>
          <w:b/>
          <w:bCs/>
          <w:i w:val="0"/>
          <w:iCs w:val="0"/>
          <w:sz w:val="22"/>
          <w:szCs w:val="22"/>
        </w:rPr>
        <w:t>ure</w:t>
      </w:r>
      <w:r w:rsidRPr="008872DE">
        <w:rPr>
          <w:b/>
          <w:bCs/>
          <w:i w:val="0"/>
          <w:iCs w:val="0"/>
          <w:sz w:val="22"/>
          <w:szCs w:val="22"/>
        </w:rPr>
        <w:t xml:space="preserve"> </w:t>
      </w:r>
      <w:r w:rsidR="008872DE">
        <w:rPr>
          <w:b/>
          <w:bCs/>
          <w:i w:val="0"/>
          <w:iCs w:val="0"/>
          <w:sz w:val="22"/>
          <w:szCs w:val="22"/>
        </w:rPr>
        <w:t>3</w:t>
      </w:r>
      <w:r w:rsidRPr="008872DE">
        <w:rPr>
          <w:b/>
          <w:bCs/>
          <w:i w:val="0"/>
          <w:iCs w:val="0"/>
          <w:sz w:val="22"/>
          <w:szCs w:val="22"/>
        </w:rPr>
        <w:t>.</w:t>
      </w:r>
      <w:r w:rsidRPr="008872DE">
        <w:rPr>
          <w:i w:val="0"/>
          <w:iCs w:val="0"/>
          <w:sz w:val="22"/>
          <w:szCs w:val="22"/>
        </w:rPr>
        <w:t xml:space="preserve"> </w:t>
      </w:r>
      <w:r w:rsidRPr="008872DE">
        <w:rPr>
          <w:i w:val="0"/>
          <w:iCs w:val="0"/>
          <w:color w:val="auto"/>
          <w:sz w:val="22"/>
          <w:szCs w:val="22"/>
        </w:rPr>
        <w:t>Results of the parallel trend test</w:t>
      </w:r>
      <w:bookmarkEnd w:id="29"/>
      <w:bookmarkEnd w:id="30"/>
      <w:bookmarkEnd w:id="31"/>
      <w:r w:rsidRPr="008872DE">
        <w:rPr>
          <w:i w:val="0"/>
          <w:iCs w:val="0"/>
          <w:color w:val="auto"/>
          <w:sz w:val="22"/>
          <w:szCs w:val="22"/>
        </w:rPr>
        <w:t>.</w:t>
      </w:r>
      <w:bookmarkEnd w:id="32"/>
    </w:p>
    <w:p w14:paraId="2999007D" w14:textId="77777777" w:rsidR="008872DE" w:rsidRPr="008872DE" w:rsidRDefault="008872DE" w:rsidP="008872DE">
      <w:pPr>
        <w:rPr>
          <w:lang w:val="en-GB" w:eastAsia="en-GB"/>
        </w:rPr>
      </w:pPr>
    </w:p>
    <w:bookmarkEnd w:id="28"/>
    <w:p w14:paraId="3DE93E89" w14:textId="4B8CBB96" w:rsidR="008061A3" w:rsidRPr="00834276" w:rsidRDefault="008061A3" w:rsidP="008061A3">
      <w:pPr>
        <w:pStyle w:val="Heading2"/>
      </w:pPr>
      <w:r w:rsidRPr="007F6C04">
        <w:t xml:space="preserve">4.3 Placebo test </w:t>
      </w:r>
    </w:p>
    <w:p w14:paraId="61269519" w14:textId="6A7B5DD5" w:rsidR="008061A3" w:rsidRDefault="008061A3" w:rsidP="008430EF">
      <w:pPr>
        <w:pStyle w:val="TableofFigures"/>
        <w:tabs>
          <w:tab w:val="right" w:leader="dot" w:pos="9350"/>
        </w:tabs>
        <w:spacing w:before="240"/>
        <w:jc w:val="both"/>
        <w:rPr>
          <w:shd w:val="clear" w:color="auto" w:fill="FFFFFF"/>
        </w:rPr>
      </w:pPr>
      <w:r w:rsidRPr="007F6C04">
        <w:rPr>
          <w:shd w:val="clear" w:color="auto" w:fill="FFFFFF"/>
        </w:rPr>
        <w:t xml:space="preserve">    </w:t>
      </w:r>
      <w:bookmarkStart w:id="33" w:name="_Toc201821346"/>
      <w:bookmarkStart w:id="34" w:name="_Toc201944142"/>
      <w:bookmarkStart w:id="35" w:name="_Toc202192743"/>
      <w:r w:rsidRPr="00046F57">
        <w:rPr>
          <w:shd w:val="clear" w:color="auto" w:fill="FFFFFF"/>
        </w:rPr>
        <w:t xml:space="preserve">To ensure that the effect of the CETS pilot policy on TFPGE is not influenced by unknown or unobserved factors, we conducted a placebo test. In this test, we randomly selected 7 out of 30 provinces to form a pseudo-experimental group, treating the remaining provinces as the control group. Using TFPGE as the dependent variable, we performed 1000 random samplings and applied a DID regression for each iteration. </w:t>
      </w:r>
      <w:hyperlink w:anchor="_Toc202192744" w:history="1">
        <w:r w:rsidR="00E46CC7" w:rsidRPr="00E46CC7">
          <w:rPr>
            <w:rStyle w:val="Hyperlink"/>
            <w:b/>
            <w:bCs/>
            <w:noProof/>
            <w:u w:val="none"/>
          </w:rPr>
          <w:t xml:space="preserve">Figure </w:t>
        </w:r>
        <w:r w:rsidR="008872DE">
          <w:rPr>
            <w:rStyle w:val="Hyperlink"/>
            <w:b/>
            <w:bCs/>
            <w:noProof/>
            <w:u w:val="none"/>
          </w:rPr>
          <w:t>4</w:t>
        </w:r>
        <w:r w:rsidR="00E46CC7" w:rsidRPr="00E46CC7">
          <w:rPr>
            <w:rStyle w:val="Hyperlink"/>
            <w:noProof/>
            <w:u w:val="none"/>
          </w:rPr>
          <w:t xml:space="preserve"> </w:t>
        </w:r>
      </w:hyperlink>
      <w:r w:rsidRPr="00046F57">
        <w:rPr>
          <w:shd w:val="clear" w:color="auto" w:fill="FFFFFF"/>
        </w:rPr>
        <w:t xml:space="preserve">presents the kernel density estimation (KDE) plot of the estimated coefficients for PGE from these placebo tests. The results indicate that the </w:t>
      </w:r>
      <w:r w:rsidRPr="00046F57">
        <w:rPr>
          <w:shd w:val="clear" w:color="auto" w:fill="FFFFFF"/>
        </w:rPr>
        <w:lastRenderedPageBreak/>
        <w:t>distribution of the placebo coefficients, as well as their mean, significantly deviates from the actual estimated effect of the CETS policy on TFPGE. This deviation suggests that the observed impact of the CETS on TFPGE is robust and unlikely to be driven by other unobservable factors or omitted variables, thereby confirming the reliability of our findings.</w:t>
      </w:r>
      <w:bookmarkEnd w:id="33"/>
      <w:bookmarkEnd w:id="34"/>
      <w:bookmarkEnd w:id="35"/>
    </w:p>
    <w:p w14:paraId="5A16BA3F" w14:textId="77777777" w:rsidR="00E46CC7" w:rsidRPr="00E46CC7" w:rsidRDefault="00E46CC7" w:rsidP="00E46CC7">
      <w:pPr>
        <w:pStyle w:val="Newparagraph"/>
      </w:pPr>
    </w:p>
    <w:p w14:paraId="3A177F05" w14:textId="77777777" w:rsidR="00E46CC7" w:rsidRDefault="00E46CC7" w:rsidP="00E46CC7">
      <w:pPr>
        <w:pStyle w:val="NormalWeb"/>
        <w:keepNext/>
        <w:jc w:val="center"/>
      </w:pPr>
      <w:bookmarkStart w:id="36" w:name="_Hlk199348414"/>
      <w:r>
        <w:rPr>
          <w:noProof/>
          <w14:ligatures w14:val="standardContextual"/>
        </w:rPr>
        <w:drawing>
          <wp:inline distT="0" distB="0" distL="0" distR="0" wp14:anchorId="29CBAD29" wp14:editId="5D6F6726">
            <wp:extent cx="4022857" cy="3347259"/>
            <wp:effectExtent l="0" t="0" r="0" b="5715"/>
            <wp:docPr id="51654021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540215" name="Picture 516540215"/>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33955" cy="3356493"/>
                    </a:xfrm>
                    <a:prstGeom prst="rect">
                      <a:avLst/>
                    </a:prstGeom>
                  </pic:spPr>
                </pic:pic>
              </a:graphicData>
            </a:graphic>
          </wp:inline>
        </w:drawing>
      </w:r>
    </w:p>
    <w:p w14:paraId="59F57F0A" w14:textId="551383A2" w:rsidR="00E46CC7" w:rsidRDefault="00E46CC7" w:rsidP="00E46CC7">
      <w:pPr>
        <w:pStyle w:val="Caption"/>
        <w:rPr>
          <w:i w:val="0"/>
          <w:iCs w:val="0"/>
          <w:color w:val="auto"/>
          <w:sz w:val="20"/>
          <w:szCs w:val="20"/>
        </w:rPr>
      </w:pPr>
      <w:bookmarkStart w:id="37" w:name="_Toc197415886"/>
      <w:bookmarkStart w:id="38" w:name="_Toc197417641"/>
      <w:bookmarkStart w:id="39" w:name="_Toc199250332"/>
      <w:bookmarkStart w:id="40" w:name="_Toc202192744"/>
      <w:r w:rsidRPr="005B6317">
        <w:rPr>
          <w:b/>
          <w:bCs/>
          <w:i w:val="0"/>
          <w:iCs w:val="0"/>
        </w:rPr>
        <w:t>Fig</w:t>
      </w:r>
      <w:r>
        <w:rPr>
          <w:b/>
          <w:bCs/>
          <w:i w:val="0"/>
          <w:iCs w:val="0"/>
        </w:rPr>
        <w:t>ure</w:t>
      </w:r>
      <w:r w:rsidR="008872DE">
        <w:rPr>
          <w:b/>
          <w:bCs/>
          <w:i w:val="0"/>
          <w:iCs w:val="0"/>
        </w:rPr>
        <w:t xml:space="preserve"> 4</w:t>
      </w:r>
      <w:r>
        <w:rPr>
          <w:b/>
          <w:bCs/>
          <w:i w:val="0"/>
          <w:iCs w:val="0"/>
        </w:rPr>
        <w:t>.</w:t>
      </w:r>
      <w:r w:rsidRPr="00506FA9">
        <w:rPr>
          <w:i w:val="0"/>
          <w:iCs w:val="0"/>
        </w:rPr>
        <w:t xml:space="preserve"> </w:t>
      </w:r>
      <w:r w:rsidRPr="00506FA9">
        <w:rPr>
          <w:i w:val="0"/>
          <w:iCs w:val="0"/>
          <w:color w:val="auto"/>
          <w:sz w:val="20"/>
          <w:szCs w:val="20"/>
        </w:rPr>
        <w:t>Results of the province placebo test</w:t>
      </w:r>
      <w:bookmarkEnd w:id="37"/>
      <w:bookmarkEnd w:id="38"/>
      <w:bookmarkEnd w:id="39"/>
      <w:r>
        <w:rPr>
          <w:i w:val="0"/>
          <w:iCs w:val="0"/>
          <w:color w:val="auto"/>
          <w:sz w:val="20"/>
          <w:szCs w:val="20"/>
        </w:rPr>
        <w:t>.</w:t>
      </w:r>
      <w:bookmarkEnd w:id="36"/>
      <w:bookmarkEnd w:id="40"/>
    </w:p>
    <w:p w14:paraId="450A8B49" w14:textId="77777777" w:rsidR="00F25894" w:rsidRPr="00F25894" w:rsidRDefault="00F25894" w:rsidP="00F25894">
      <w:pPr>
        <w:rPr>
          <w:lang w:val="en-GB" w:eastAsia="en-GB"/>
        </w:rPr>
      </w:pPr>
    </w:p>
    <w:p w14:paraId="2719EF70" w14:textId="77777777" w:rsidR="008061A3" w:rsidRPr="007F6C04" w:rsidRDefault="008061A3" w:rsidP="008061A3">
      <w:pPr>
        <w:pStyle w:val="Heading2"/>
      </w:pPr>
      <w:r w:rsidRPr="007F6C04">
        <w:t xml:space="preserve">4.4 Robustness test </w:t>
      </w:r>
    </w:p>
    <w:p w14:paraId="2903656B" w14:textId="77777777" w:rsidR="008061A3" w:rsidRPr="00834276" w:rsidRDefault="008061A3" w:rsidP="008061A3">
      <w:pPr>
        <w:pStyle w:val="Heading3"/>
        <w:rPr>
          <w:rFonts w:eastAsia="CMR12"/>
        </w:rPr>
      </w:pPr>
      <w:r>
        <w:rPr>
          <w:rFonts w:eastAsia="CMR12"/>
        </w:rPr>
        <w:t>4.4.</w:t>
      </w:r>
      <w:r w:rsidRPr="007F6C04">
        <w:rPr>
          <w:rFonts w:eastAsia="CMR12"/>
        </w:rPr>
        <w:t>1 Using the PSM-DID model</w:t>
      </w:r>
    </w:p>
    <w:p w14:paraId="4873DCAE" w14:textId="13A49335" w:rsidR="00E46CC7" w:rsidRPr="008430EF" w:rsidRDefault="008061A3" w:rsidP="008430EF">
      <w:pPr>
        <w:pStyle w:val="TableofFigures"/>
        <w:tabs>
          <w:tab w:val="right" w:leader="dot" w:pos="9350"/>
        </w:tabs>
        <w:spacing w:before="240"/>
        <w:jc w:val="both"/>
        <w:rPr>
          <w:shd w:val="clear" w:color="auto" w:fill="FFFFFF"/>
        </w:rPr>
      </w:pPr>
      <w:r w:rsidRPr="007F6C04">
        <w:rPr>
          <w:shd w:val="clear" w:color="auto" w:fill="FFFFFF"/>
        </w:rPr>
        <w:t xml:space="preserve">    </w:t>
      </w:r>
      <w:bookmarkStart w:id="41" w:name="_Toc201821348"/>
      <w:bookmarkStart w:id="42" w:name="_Toc201944143"/>
      <w:bookmarkStart w:id="43" w:name="_Toc202190487"/>
      <w:bookmarkStart w:id="44" w:name="_Toc202192745"/>
      <w:r w:rsidRPr="00046F57">
        <w:rPr>
          <w:shd w:val="clear" w:color="auto" w:fill="FFFFFF"/>
        </w:rPr>
        <w:t xml:space="preserve">The DID method may have selection bias, limiting its quasi-natural experiment effectiveness. We validate the regression results using propensity score matching for accuracy. A logit model was applied to match the experimental and control groups using industrialization, population </w:t>
      </w:r>
      <w:r w:rsidRPr="00046F57">
        <w:rPr>
          <w:shd w:val="clear" w:color="auto" w:fill="FFFFFF"/>
        </w:rPr>
        <w:lastRenderedPageBreak/>
        <w:t>density, energy consumption, and economic development as variables. Caliper matching was used to minimize selection bias due to individual differences.</w:t>
      </w:r>
      <w:r w:rsidRPr="00046F57">
        <w:rPr>
          <w:rFonts w:eastAsiaTheme="minorEastAsia"/>
          <w14:ligatures w14:val="standardContextual"/>
        </w:rPr>
        <w:t xml:space="preserve"> </w:t>
      </w:r>
      <w:r w:rsidRPr="00046F57">
        <w:rPr>
          <w:shd w:val="clear" w:color="auto" w:fill="FFFFFF"/>
        </w:rPr>
        <w:t xml:space="preserve">Per </w:t>
      </w:r>
      <w:r w:rsidRPr="00046F57">
        <w:rPr>
          <w:shd w:val="clear" w:color="auto" w:fill="FFFFFF"/>
        </w:rPr>
        <w:fldChar w:fldCharType="begin"/>
      </w:r>
      <w:r w:rsidRPr="00046F57">
        <w:rPr>
          <w:shd w:val="clear" w:color="auto" w:fill="FFFFFF"/>
        </w:rPr>
        <w:instrText xml:space="preserve"> ADDIN ZOTERO_ITEM CSL_CITATION {"citationID":"PrXoCrSx","properties":{"formattedCitation":"(Rosenbaum &amp; Rubin, 1985)","plainCitation":"(Rosenbaum &amp; Rubin, 1985)","noteIndex":0},"citationItems":[{"id":822,"uris":["http://zotero.org/users/local/wH06Ygim/items/YRUPYF6N"],"itemData":{"id":822,"type":"article-journal","container-title":"The American Statistician","DOI":"10.1080/00031305.1985.10479383","ISSN":"0003-1305, 1537-2731","issue":"1","journalAbbreviation":"The American Statistician","language":"en","page":"33-38","source":"DOI.org (Crossref)","title":"Constructing a Control Group Using Multivariate Matched Sampling Methods That Incorporate the Propensity Score","volume":"39","author":[{"family":"Rosenbaum","given":"Paul R."},{"family":"Rubin","given":"Donald B."}],"issued":{"date-parts":[["1985",2]]}}}],"schema":"https://github.com/citation-style-language/schema/raw/master/csl-citation.json"} </w:instrText>
      </w:r>
      <w:r w:rsidRPr="00046F57">
        <w:rPr>
          <w:shd w:val="clear" w:color="auto" w:fill="FFFFFF"/>
        </w:rPr>
        <w:fldChar w:fldCharType="separate"/>
      </w:r>
      <w:r w:rsidRPr="00046F57">
        <w:t>(Rosenbaum &amp; Rubin, 1985)</w:t>
      </w:r>
      <w:r w:rsidRPr="00046F57">
        <w:rPr>
          <w:shd w:val="clear" w:color="auto" w:fill="FFFFFF"/>
        </w:rPr>
        <w:fldChar w:fldCharType="end"/>
      </w:r>
      <w:r w:rsidRPr="00046F57">
        <w:rPr>
          <w:shd w:val="clear" w:color="auto" w:fill="FFFFFF"/>
        </w:rPr>
        <w:t xml:space="preserve">, a good matching effect is achieved if the absolute standard deviation of sample variables after matching is below 20%, ensuring valid and reliable estimates. The results in </w:t>
      </w:r>
      <w:r w:rsidR="008872DE">
        <w:rPr>
          <w:shd w:val="clear" w:color="auto" w:fill="FFFFFF"/>
        </w:rPr>
        <w:t xml:space="preserve">Supplementary Table S2 </w:t>
      </w:r>
      <w:r w:rsidRPr="00046F57">
        <w:rPr>
          <w:shd w:val="clear" w:color="auto" w:fill="FFFFFF"/>
        </w:rPr>
        <w:t xml:space="preserve">meet Rosenbaum and Rubin’s criterion, with p-values above 10%, confirming the validity of the sample matching. </w:t>
      </w:r>
      <w:bookmarkStart w:id="45" w:name="_Hlk196843806"/>
      <w:r w:rsidR="00E46CC7" w:rsidRPr="00E46CC7">
        <w:rPr>
          <w:rStyle w:val="Hyperlink"/>
          <w:noProof/>
          <w:u w:val="none"/>
        </w:rPr>
        <w:fldChar w:fldCharType="begin"/>
      </w:r>
      <w:r w:rsidR="00E46CC7" w:rsidRPr="00E46CC7">
        <w:rPr>
          <w:rStyle w:val="Hyperlink"/>
          <w:noProof/>
          <w:u w:val="none"/>
        </w:rPr>
        <w:instrText xml:space="preserve"> </w:instrText>
      </w:r>
      <w:r w:rsidR="00E46CC7" w:rsidRPr="00E46CC7">
        <w:rPr>
          <w:noProof/>
        </w:rPr>
        <w:instrText>HYPERLINK \l "_Toc202192746"</w:instrText>
      </w:r>
      <w:r w:rsidR="00E46CC7" w:rsidRPr="00E46CC7">
        <w:rPr>
          <w:rStyle w:val="Hyperlink"/>
          <w:noProof/>
          <w:u w:val="none"/>
        </w:rPr>
        <w:instrText xml:space="preserve"> </w:instrText>
      </w:r>
      <w:r w:rsidR="00E46CC7" w:rsidRPr="00E46CC7">
        <w:rPr>
          <w:rStyle w:val="Hyperlink"/>
          <w:noProof/>
          <w:u w:val="none"/>
        </w:rPr>
      </w:r>
      <w:r w:rsidR="00E46CC7" w:rsidRPr="00E46CC7">
        <w:rPr>
          <w:rStyle w:val="Hyperlink"/>
          <w:noProof/>
          <w:u w:val="none"/>
        </w:rPr>
        <w:fldChar w:fldCharType="separate"/>
      </w:r>
      <w:r w:rsidR="00E46CC7" w:rsidRPr="00E46CC7">
        <w:rPr>
          <w:rStyle w:val="Hyperlink"/>
          <w:b/>
          <w:bCs/>
          <w:noProof/>
          <w:u w:val="none"/>
        </w:rPr>
        <w:t xml:space="preserve">Figure </w:t>
      </w:r>
      <w:r w:rsidR="008872DE">
        <w:rPr>
          <w:rStyle w:val="Hyperlink"/>
          <w:b/>
          <w:bCs/>
          <w:noProof/>
          <w:u w:val="none"/>
        </w:rPr>
        <w:t>5</w:t>
      </w:r>
      <w:r w:rsidR="00E46CC7" w:rsidRPr="00E46CC7">
        <w:rPr>
          <w:rStyle w:val="Hyperlink"/>
          <w:noProof/>
          <w:u w:val="none"/>
        </w:rPr>
        <w:t xml:space="preserve"> </w:t>
      </w:r>
      <w:r w:rsidR="00E46CC7" w:rsidRPr="00E46CC7">
        <w:rPr>
          <w:rStyle w:val="Hyperlink"/>
          <w:noProof/>
          <w:u w:val="none"/>
        </w:rPr>
        <w:fldChar w:fldCharType="end"/>
      </w:r>
      <w:r w:rsidRPr="00046F57">
        <w:rPr>
          <w:shd w:val="clear" w:color="auto" w:fill="FFFFFF"/>
        </w:rPr>
        <w:t xml:space="preserve">illustrates the matching outcome. After applying DID estimation to the matched samples (results in </w:t>
      </w:r>
      <w:hyperlink w:anchor="_Toc202190490" w:history="1">
        <w:r w:rsidR="00E46CC7" w:rsidRPr="00E46CC7">
          <w:rPr>
            <w:rStyle w:val="Hyperlink"/>
            <w:b/>
            <w:bCs/>
            <w:noProof/>
            <w:u w:val="none"/>
          </w:rPr>
          <w:t xml:space="preserve">Table </w:t>
        </w:r>
        <w:r w:rsidR="00F25894">
          <w:rPr>
            <w:rStyle w:val="Hyperlink"/>
            <w:b/>
            <w:bCs/>
            <w:noProof/>
            <w:u w:val="none"/>
          </w:rPr>
          <w:t>3</w:t>
        </w:r>
        <w:r w:rsidR="00E46CC7" w:rsidRPr="00E46CC7">
          <w:rPr>
            <w:rStyle w:val="Hyperlink"/>
            <w:noProof/>
            <w:u w:val="none"/>
          </w:rPr>
          <w:t xml:space="preserve"> </w:t>
        </w:r>
      </w:hyperlink>
      <w:r w:rsidRPr="00046F57">
        <w:rPr>
          <w:shd w:val="clear" w:color="auto" w:fill="FFFFFF"/>
        </w:rPr>
        <w:t>[column 1]), the CETS continues to significantly enhance TFPGE, supporting the study’s conclusions.</w:t>
      </w:r>
      <w:bookmarkEnd w:id="41"/>
      <w:bookmarkEnd w:id="42"/>
      <w:bookmarkEnd w:id="43"/>
      <w:bookmarkEnd w:id="44"/>
      <w:bookmarkEnd w:id="45"/>
    </w:p>
    <w:p w14:paraId="056A241D" w14:textId="77777777" w:rsidR="00E46CC7" w:rsidRDefault="00E46CC7" w:rsidP="00E46CC7">
      <w:pPr>
        <w:keepNext/>
        <w:autoSpaceDE w:val="0"/>
        <w:autoSpaceDN w:val="0"/>
        <w:adjustRightInd w:val="0"/>
        <w:jc w:val="center"/>
      </w:pPr>
      <w:bookmarkStart w:id="46" w:name="_Hlk199348457"/>
      <w:r>
        <w:rPr>
          <w:noProof/>
          <w14:ligatures w14:val="standardContextual"/>
        </w:rPr>
        <w:drawing>
          <wp:inline distT="0" distB="0" distL="0" distR="0" wp14:anchorId="72441580" wp14:editId="1C99A29D">
            <wp:extent cx="5170805" cy="2964873"/>
            <wp:effectExtent l="0" t="0" r="0" b="0"/>
            <wp:docPr id="9930742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074218" name="Picture 99307421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92794" cy="2977481"/>
                    </a:xfrm>
                    <a:prstGeom prst="rect">
                      <a:avLst/>
                    </a:prstGeom>
                  </pic:spPr>
                </pic:pic>
              </a:graphicData>
            </a:graphic>
          </wp:inline>
        </w:drawing>
      </w:r>
    </w:p>
    <w:p w14:paraId="53F828DA" w14:textId="222FBB8F" w:rsidR="00E46CC7" w:rsidRDefault="00E46CC7" w:rsidP="00E46CC7">
      <w:pPr>
        <w:pStyle w:val="Caption"/>
        <w:rPr>
          <w:i w:val="0"/>
          <w:iCs w:val="0"/>
          <w:sz w:val="20"/>
          <w:szCs w:val="20"/>
        </w:rPr>
      </w:pPr>
      <w:bookmarkStart w:id="47" w:name="_Toc197415887"/>
      <w:bookmarkStart w:id="48" w:name="_Toc197417642"/>
      <w:bookmarkStart w:id="49" w:name="_Toc199250333"/>
      <w:bookmarkStart w:id="50" w:name="_Toc202192746"/>
      <w:r w:rsidRPr="005B6317">
        <w:rPr>
          <w:b/>
          <w:bCs/>
          <w:i w:val="0"/>
          <w:iCs w:val="0"/>
        </w:rPr>
        <w:t>Fig</w:t>
      </w:r>
      <w:r>
        <w:rPr>
          <w:b/>
          <w:bCs/>
          <w:i w:val="0"/>
          <w:iCs w:val="0"/>
        </w:rPr>
        <w:t>ure</w:t>
      </w:r>
      <w:r w:rsidR="008872DE">
        <w:rPr>
          <w:b/>
          <w:bCs/>
          <w:i w:val="0"/>
          <w:iCs w:val="0"/>
        </w:rPr>
        <w:t xml:space="preserve"> 5</w:t>
      </w:r>
      <w:r>
        <w:rPr>
          <w:b/>
          <w:bCs/>
          <w:i w:val="0"/>
          <w:iCs w:val="0"/>
        </w:rPr>
        <w:t>.</w:t>
      </w:r>
      <w:r w:rsidRPr="00506FA9">
        <w:rPr>
          <w:i w:val="0"/>
          <w:iCs w:val="0"/>
        </w:rPr>
        <w:t xml:space="preserve"> </w:t>
      </w:r>
      <w:r w:rsidRPr="00506FA9">
        <w:rPr>
          <w:i w:val="0"/>
          <w:iCs w:val="0"/>
          <w:sz w:val="20"/>
          <w:szCs w:val="20"/>
        </w:rPr>
        <w:t>Kernel density functions before and after matching</w:t>
      </w:r>
      <w:bookmarkEnd w:id="47"/>
      <w:bookmarkEnd w:id="48"/>
      <w:bookmarkEnd w:id="49"/>
      <w:r>
        <w:rPr>
          <w:i w:val="0"/>
          <w:iCs w:val="0"/>
          <w:sz w:val="20"/>
          <w:szCs w:val="20"/>
        </w:rPr>
        <w:t>.</w:t>
      </w:r>
      <w:bookmarkEnd w:id="50"/>
    </w:p>
    <w:p w14:paraId="487E74A1" w14:textId="77777777" w:rsidR="00F25894" w:rsidRPr="00F25894" w:rsidRDefault="00F25894" w:rsidP="00F25894">
      <w:pPr>
        <w:rPr>
          <w:lang w:val="en-GB" w:eastAsia="en-GB"/>
        </w:rPr>
      </w:pPr>
    </w:p>
    <w:bookmarkEnd w:id="46"/>
    <w:p w14:paraId="3E312E66" w14:textId="77777777" w:rsidR="008061A3" w:rsidRPr="00834276" w:rsidRDefault="008061A3" w:rsidP="008061A3">
      <w:pPr>
        <w:pStyle w:val="Heading3"/>
        <w:rPr>
          <w:rFonts w:eastAsia="CMR12"/>
        </w:rPr>
      </w:pPr>
      <w:r>
        <w:rPr>
          <w:rFonts w:eastAsia="CMR12"/>
        </w:rPr>
        <w:t>4.4.</w:t>
      </w:r>
      <w:r w:rsidRPr="007F6C04">
        <w:rPr>
          <w:rFonts w:eastAsia="CMR12"/>
        </w:rPr>
        <w:t>2 Based on the year of replacement policy implementation</w:t>
      </w:r>
    </w:p>
    <w:p w14:paraId="1F4EA9D6" w14:textId="3BB9DCAF" w:rsidR="008061A3" w:rsidRDefault="008061A3" w:rsidP="008430EF">
      <w:pPr>
        <w:pStyle w:val="TableofFigures"/>
        <w:tabs>
          <w:tab w:val="right" w:leader="dot" w:pos="9350"/>
        </w:tabs>
        <w:spacing w:before="240"/>
        <w:jc w:val="both"/>
        <w:rPr>
          <w:shd w:val="clear" w:color="auto" w:fill="FFFFFF"/>
        </w:rPr>
      </w:pPr>
      <w:r w:rsidRPr="007F6C04">
        <w:rPr>
          <w:rFonts w:ascii="Arial" w:hAnsi="Arial" w:cs="Arial"/>
          <w:sz w:val="23"/>
          <w:szCs w:val="23"/>
          <w:shd w:val="clear" w:color="auto" w:fill="FFFFFF"/>
        </w:rPr>
        <w:t xml:space="preserve">    </w:t>
      </w:r>
      <w:bookmarkStart w:id="51" w:name="_Toc202190488"/>
      <w:r w:rsidRPr="00046F57">
        <w:rPr>
          <w:shd w:val="clear" w:color="auto" w:fill="FFFFFF"/>
        </w:rPr>
        <w:t xml:space="preserve">To account for the staggered implementation of the CETS across pilot cities from 2013 to 2014 and its delayed impact, this study uses 2015 as the policy implementation base year for a DID analysis. As shown in Column 2 of </w:t>
      </w:r>
      <w:hyperlink w:anchor="_Toc202190490" w:history="1">
        <w:r w:rsidR="00E46CC7" w:rsidRPr="00E46CC7">
          <w:rPr>
            <w:rStyle w:val="Hyperlink"/>
            <w:b/>
            <w:bCs/>
            <w:noProof/>
            <w:u w:val="none"/>
          </w:rPr>
          <w:t xml:space="preserve">Table </w:t>
        </w:r>
        <w:r w:rsidR="00F25894">
          <w:rPr>
            <w:rStyle w:val="Hyperlink"/>
            <w:b/>
            <w:bCs/>
            <w:noProof/>
            <w:u w:val="none"/>
          </w:rPr>
          <w:t>3</w:t>
        </w:r>
        <w:r w:rsidR="00F25894" w:rsidRPr="00F25894">
          <w:rPr>
            <w:rStyle w:val="Hyperlink"/>
            <w:noProof/>
            <w:color w:val="auto"/>
            <w:u w:val="none"/>
          </w:rPr>
          <w:t>,</w:t>
        </w:r>
        <w:r w:rsidR="00E46CC7" w:rsidRPr="00E46CC7">
          <w:rPr>
            <w:rStyle w:val="Hyperlink"/>
            <w:noProof/>
            <w:u w:val="none"/>
          </w:rPr>
          <w:t xml:space="preserve"> </w:t>
        </w:r>
      </w:hyperlink>
      <w:r w:rsidRPr="00046F57">
        <w:rPr>
          <w:shd w:val="clear" w:color="auto" w:fill="FFFFFF"/>
        </w:rPr>
        <w:t xml:space="preserve">the results align closely with those using 2013 as the </w:t>
      </w:r>
      <w:r w:rsidRPr="00046F57">
        <w:rPr>
          <w:shd w:val="clear" w:color="auto" w:fill="FFFFFF"/>
        </w:rPr>
        <w:lastRenderedPageBreak/>
        <w:t>base year, reinforcing the robustness and reliability of the study’s findings on the CETS’ positive effect on TFPGE.</w:t>
      </w:r>
      <w:bookmarkEnd w:id="51"/>
    </w:p>
    <w:p w14:paraId="7825BCD4" w14:textId="77777777" w:rsidR="001E7226" w:rsidRPr="001E7226" w:rsidRDefault="001E7226" w:rsidP="001E7226">
      <w:pPr>
        <w:pStyle w:val="Newparagraph"/>
      </w:pPr>
    </w:p>
    <w:p w14:paraId="15576E44" w14:textId="77777777" w:rsidR="008061A3" w:rsidRPr="00834276" w:rsidRDefault="008061A3" w:rsidP="008061A3">
      <w:pPr>
        <w:pStyle w:val="Heading3"/>
        <w:rPr>
          <w:rFonts w:eastAsia="CMR12"/>
        </w:rPr>
      </w:pPr>
      <w:r>
        <w:rPr>
          <w:rFonts w:eastAsia="CMR12"/>
        </w:rPr>
        <w:t>4.4.2</w:t>
      </w:r>
      <w:r w:rsidRPr="007F6C04">
        <w:rPr>
          <w:rFonts w:eastAsia="CMR12"/>
        </w:rPr>
        <w:t xml:space="preserve"> Eliminate some special samples </w:t>
      </w:r>
    </w:p>
    <w:p w14:paraId="562DDE13" w14:textId="77777777" w:rsidR="008061A3" w:rsidRPr="00046F57" w:rsidRDefault="008061A3" w:rsidP="008430EF">
      <w:pPr>
        <w:pStyle w:val="Paragraph"/>
        <w:jc w:val="both"/>
      </w:pPr>
      <w:r w:rsidRPr="007F6C04">
        <w:rPr>
          <w:rFonts w:ascii="Arial" w:hAnsi="Arial" w:cs="Arial"/>
        </w:rPr>
        <w:t xml:space="preserve">    </w:t>
      </w:r>
      <w:r w:rsidRPr="00046F57">
        <w:t xml:space="preserve">To enhance the accuracy of our regression analysis, we excluded specific samples with unique characteristics. We focused on two cases that could skew the results: (1) Beijing and Shanghai, major economic hubs, likely implemented stricter energy conservation and emission reduction policies alongside the ETS during the 12th Five-Year Plan, potentially influencing the baseline regression; (2) Chongqing, the only centrally governed municipality in western China, has distinct economic development traits that may also impact the regression outcomes. </w:t>
      </w:r>
    </w:p>
    <w:p w14:paraId="0EC726B6" w14:textId="048EA1CA" w:rsidR="00E46CC7" w:rsidRDefault="008061A3" w:rsidP="008430EF">
      <w:pPr>
        <w:pStyle w:val="TableofFigures"/>
        <w:tabs>
          <w:tab w:val="right" w:leader="dot" w:pos="9350"/>
        </w:tabs>
        <w:spacing w:before="240"/>
        <w:jc w:val="both"/>
      </w:pPr>
      <w:r w:rsidRPr="00046F57">
        <w:t xml:space="preserve">    </w:t>
      </w:r>
      <w:bookmarkStart w:id="52" w:name="_Toc202190489"/>
      <w:r w:rsidRPr="00046F57">
        <w:t xml:space="preserve">We performed two exclusion experiments to address the identified concerns. First, we excluded data from Beijing and Shanghai to remove potential policy overlap effects (results in </w:t>
      </w:r>
      <w:hyperlink w:anchor="_Toc202190490" w:history="1">
        <w:r w:rsidR="00E46CC7" w:rsidRPr="00E46CC7">
          <w:rPr>
            <w:rStyle w:val="Hyperlink"/>
            <w:b/>
            <w:bCs/>
            <w:noProof/>
            <w:u w:val="none"/>
          </w:rPr>
          <w:t xml:space="preserve">Table </w:t>
        </w:r>
        <w:r w:rsidR="00F25894">
          <w:rPr>
            <w:rStyle w:val="Hyperlink"/>
            <w:b/>
            <w:bCs/>
            <w:noProof/>
            <w:u w:val="none"/>
          </w:rPr>
          <w:t>3</w:t>
        </w:r>
        <w:r w:rsidR="00E46CC7" w:rsidRPr="00F25894">
          <w:rPr>
            <w:rStyle w:val="Hyperlink"/>
            <w:noProof/>
            <w:color w:val="auto"/>
            <w:u w:val="none"/>
          </w:rPr>
          <w:t>,</w:t>
        </w:r>
        <w:r w:rsidR="00E46CC7" w:rsidRPr="00F25894">
          <w:rPr>
            <w:rStyle w:val="Hyperlink"/>
            <w:noProof/>
            <w:color w:val="auto"/>
            <w:u w:val="none"/>
          </w:rPr>
          <w:t xml:space="preserve"> </w:t>
        </w:r>
      </w:hyperlink>
      <w:r w:rsidRPr="00046F57">
        <w:t xml:space="preserve">column 3). Second, we excluded Chongqing’s data to eliminate the influence of its unique Western economic development traits (results in </w:t>
      </w:r>
      <w:hyperlink w:anchor="_Toc202190490" w:history="1">
        <w:r w:rsidR="00E46CC7" w:rsidRPr="00E46CC7">
          <w:rPr>
            <w:rStyle w:val="Hyperlink"/>
            <w:b/>
            <w:bCs/>
            <w:noProof/>
            <w:u w:val="none"/>
          </w:rPr>
          <w:t xml:space="preserve">Table </w:t>
        </w:r>
        <w:r w:rsidR="00F25894">
          <w:rPr>
            <w:rStyle w:val="Hyperlink"/>
            <w:b/>
            <w:bCs/>
            <w:noProof/>
            <w:u w:val="none"/>
          </w:rPr>
          <w:t>3</w:t>
        </w:r>
        <w:r w:rsidR="00E46CC7" w:rsidRPr="00F25894">
          <w:rPr>
            <w:rStyle w:val="Hyperlink"/>
            <w:noProof/>
            <w:color w:val="auto"/>
            <w:u w:val="none"/>
          </w:rPr>
          <w:t>,</w:t>
        </w:r>
        <w:r w:rsidR="00E46CC7" w:rsidRPr="00E46CC7">
          <w:rPr>
            <w:rStyle w:val="Hyperlink"/>
            <w:noProof/>
            <w:u w:val="none"/>
          </w:rPr>
          <w:t xml:space="preserve"> </w:t>
        </w:r>
      </w:hyperlink>
      <w:r w:rsidRPr="00046F57">
        <w:t>column 4). After these exclusions, the Treat x Post coefficients remained significant, confirming the robustness and reliability of our baseline regression results.</w:t>
      </w:r>
      <w:bookmarkEnd w:id="52"/>
      <w:r w:rsidRPr="00046F57">
        <w:t xml:space="preserve"> </w:t>
      </w:r>
    </w:p>
    <w:p w14:paraId="5503C057" w14:textId="77777777" w:rsidR="00E46CC7" w:rsidRDefault="00E46CC7" w:rsidP="00E46CC7">
      <w:pPr>
        <w:rPr>
          <w:lang w:val="en-GB" w:eastAsia="en-GB"/>
        </w:rPr>
      </w:pPr>
    </w:p>
    <w:p w14:paraId="2E89F59F" w14:textId="77777777" w:rsidR="00F25894" w:rsidRDefault="00F25894" w:rsidP="00E46CC7">
      <w:pPr>
        <w:rPr>
          <w:lang w:val="en-GB" w:eastAsia="en-GB"/>
        </w:rPr>
      </w:pPr>
    </w:p>
    <w:p w14:paraId="143DEAD3" w14:textId="77777777" w:rsidR="00F25894" w:rsidRDefault="00F25894" w:rsidP="00E46CC7">
      <w:pPr>
        <w:rPr>
          <w:lang w:val="en-GB" w:eastAsia="en-GB"/>
        </w:rPr>
      </w:pPr>
    </w:p>
    <w:p w14:paraId="766E1446" w14:textId="77777777" w:rsidR="00F25894" w:rsidRDefault="00F25894" w:rsidP="00E46CC7">
      <w:pPr>
        <w:rPr>
          <w:lang w:val="en-GB" w:eastAsia="en-GB"/>
        </w:rPr>
      </w:pPr>
    </w:p>
    <w:p w14:paraId="770DE32B" w14:textId="77777777" w:rsidR="00F25894" w:rsidRDefault="00F25894" w:rsidP="00E46CC7">
      <w:pPr>
        <w:rPr>
          <w:lang w:val="en-GB" w:eastAsia="en-GB"/>
        </w:rPr>
      </w:pPr>
    </w:p>
    <w:p w14:paraId="46C58956" w14:textId="77777777" w:rsidR="00551707" w:rsidRDefault="00551707" w:rsidP="008061A3">
      <w:pPr>
        <w:pStyle w:val="Tabletitle"/>
        <w:rPr>
          <w:b/>
          <w:bCs/>
          <w:sz w:val="20"/>
          <w:szCs w:val="20"/>
        </w:rPr>
      </w:pPr>
      <w:bookmarkStart w:id="53" w:name="_Toc202190490"/>
    </w:p>
    <w:p w14:paraId="6E88534E" w14:textId="5948580B" w:rsidR="008061A3" w:rsidRPr="008872DE" w:rsidRDefault="008061A3" w:rsidP="008061A3">
      <w:pPr>
        <w:pStyle w:val="Tabletitle"/>
        <w:rPr>
          <w:rFonts w:eastAsia="CMR12"/>
        </w:rPr>
      </w:pPr>
      <w:r w:rsidRPr="008872DE">
        <w:rPr>
          <w:b/>
          <w:bCs/>
        </w:rPr>
        <w:lastRenderedPageBreak/>
        <w:t xml:space="preserve">Table </w:t>
      </w:r>
      <w:r w:rsidR="00F25894">
        <w:rPr>
          <w:b/>
          <w:bCs/>
        </w:rPr>
        <w:t>3</w:t>
      </w:r>
      <w:r w:rsidRPr="008872DE">
        <w:rPr>
          <w:b/>
          <w:bCs/>
        </w:rPr>
        <w:t>.</w:t>
      </w:r>
      <w:r w:rsidRPr="008872DE">
        <w:t xml:space="preserve"> </w:t>
      </w:r>
      <w:r w:rsidRPr="008872DE">
        <w:rPr>
          <w:rFonts w:eastAsia="CMR12"/>
        </w:rPr>
        <w:t>Results of the robustness test</w:t>
      </w:r>
      <w:bookmarkEnd w:id="53"/>
    </w:p>
    <w:tbl>
      <w:tblPr>
        <w:tblStyle w:val="PlainTable2"/>
        <w:tblW w:w="0" w:type="auto"/>
        <w:tblLook w:val="04A0" w:firstRow="1" w:lastRow="0" w:firstColumn="1" w:lastColumn="0" w:noHBand="0" w:noVBand="1"/>
      </w:tblPr>
      <w:tblGrid>
        <w:gridCol w:w="2354"/>
        <w:gridCol w:w="1236"/>
        <w:gridCol w:w="1116"/>
        <w:gridCol w:w="1250"/>
        <w:gridCol w:w="1043"/>
      </w:tblGrid>
      <w:tr w:rsidR="008061A3" w:rsidRPr="008872DE" w14:paraId="001250CE" w14:textId="77777777" w:rsidTr="008F7D7C">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354" w:type="dxa"/>
            <w:vMerge w:val="restart"/>
            <w:noWrap/>
            <w:hideMark/>
          </w:tcPr>
          <w:p w14:paraId="7EF0B90A"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Variables</w:t>
            </w:r>
          </w:p>
        </w:tc>
        <w:tc>
          <w:tcPr>
            <w:tcW w:w="4645" w:type="dxa"/>
            <w:gridSpan w:val="4"/>
            <w:noWrap/>
            <w:hideMark/>
          </w:tcPr>
          <w:p w14:paraId="73F7AF70" w14:textId="77777777" w:rsidR="008061A3" w:rsidRPr="008872DE" w:rsidRDefault="008061A3" w:rsidP="008F7D7C">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b w:val="0"/>
                <w:bCs w:val="0"/>
              </w:rPr>
            </w:pPr>
            <w:r w:rsidRPr="008872DE">
              <w:rPr>
                <w:rFonts w:ascii="Times New Roman" w:eastAsia="CMR12" w:hAnsi="Times New Roman" w:cs="Times New Roman"/>
                <w:b w:val="0"/>
                <w:bCs w:val="0"/>
              </w:rPr>
              <w:t xml:space="preserve">Total Factor Power generation efficiency </w:t>
            </w:r>
          </w:p>
        </w:tc>
      </w:tr>
      <w:tr w:rsidR="008061A3" w:rsidRPr="008872DE" w14:paraId="7E637275"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354" w:type="dxa"/>
            <w:vMerge/>
            <w:tcBorders>
              <w:bottom w:val="single" w:sz="12" w:space="0" w:color="auto"/>
            </w:tcBorders>
            <w:hideMark/>
          </w:tcPr>
          <w:p w14:paraId="59B29EB7"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p>
        </w:tc>
        <w:tc>
          <w:tcPr>
            <w:tcW w:w="1236" w:type="dxa"/>
            <w:tcBorders>
              <w:bottom w:val="single" w:sz="12" w:space="0" w:color="auto"/>
            </w:tcBorders>
            <w:noWrap/>
            <w:hideMark/>
          </w:tcPr>
          <w:p w14:paraId="347FAEF2"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w:t>
            </w:r>
          </w:p>
        </w:tc>
        <w:tc>
          <w:tcPr>
            <w:tcW w:w="1116" w:type="dxa"/>
            <w:tcBorders>
              <w:bottom w:val="single" w:sz="12" w:space="0" w:color="auto"/>
            </w:tcBorders>
            <w:noWrap/>
            <w:hideMark/>
          </w:tcPr>
          <w:p w14:paraId="21674093"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(2)</w:t>
            </w:r>
          </w:p>
        </w:tc>
        <w:tc>
          <w:tcPr>
            <w:tcW w:w="1250" w:type="dxa"/>
            <w:tcBorders>
              <w:bottom w:val="single" w:sz="12" w:space="0" w:color="auto"/>
            </w:tcBorders>
            <w:noWrap/>
            <w:hideMark/>
          </w:tcPr>
          <w:p w14:paraId="112505E5"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w:t>
            </w:r>
          </w:p>
        </w:tc>
        <w:tc>
          <w:tcPr>
            <w:tcW w:w="1043" w:type="dxa"/>
            <w:tcBorders>
              <w:bottom w:val="single" w:sz="12" w:space="0" w:color="auto"/>
            </w:tcBorders>
          </w:tcPr>
          <w:p w14:paraId="545FE866" w14:textId="77777777" w:rsidR="008061A3" w:rsidRPr="008872DE" w:rsidRDefault="008061A3" w:rsidP="008F7D7C">
            <w:pPr>
              <w:spacing w:after="160" w:line="278"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8872DE">
              <w:rPr>
                <w:rFonts w:ascii="Times New Roman" w:eastAsia="CMR12" w:hAnsi="Times New Roman" w:cs="Times New Roman"/>
              </w:rPr>
              <w:t>(4)</w:t>
            </w:r>
          </w:p>
        </w:tc>
      </w:tr>
      <w:tr w:rsidR="008061A3" w:rsidRPr="008872DE" w14:paraId="652C2F93"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354" w:type="dxa"/>
            <w:tcBorders>
              <w:top w:val="single" w:sz="12" w:space="0" w:color="auto"/>
            </w:tcBorders>
            <w:noWrap/>
            <w:hideMark/>
          </w:tcPr>
          <w:p w14:paraId="482AF7CD"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Treat × Post</w:t>
            </w:r>
          </w:p>
        </w:tc>
        <w:tc>
          <w:tcPr>
            <w:tcW w:w="1236" w:type="dxa"/>
            <w:tcBorders>
              <w:top w:val="single" w:sz="12" w:space="0" w:color="auto"/>
            </w:tcBorders>
            <w:noWrap/>
            <w:hideMark/>
          </w:tcPr>
          <w:p w14:paraId="337152B5"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0.0274*** (0.0033)</w:t>
            </w:r>
          </w:p>
        </w:tc>
        <w:tc>
          <w:tcPr>
            <w:tcW w:w="1116" w:type="dxa"/>
            <w:tcBorders>
              <w:top w:val="single" w:sz="12" w:space="0" w:color="auto"/>
            </w:tcBorders>
            <w:noWrap/>
            <w:hideMark/>
          </w:tcPr>
          <w:p w14:paraId="1D7EBE6D"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0.0224* (0.0094)</w:t>
            </w:r>
          </w:p>
        </w:tc>
        <w:tc>
          <w:tcPr>
            <w:tcW w:w="1250" w:type="dxa"/>
            <w:tcBorders>
              <w:top w:val="single" w:sz="12" w:space="0" w:color="auto"/>
            </w:tcBorders>
            <w:noWrap/>
            <w:hideMark/>
          </w:tcPr>
          <w:p w14:paraId="225C18D1"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0.0161* (0.0069)</w:t>
            </w:r>
          </w:p>
        </w:tc>
        <w:tc>
          <w:tcPr>
            <w:tcW w:w="1043" w:type="dxa"/>
            <w:tcBorders>
              <w:top w:val="single" w:sz="12" w:space="0" w:color="auto"/>
            </w:tcBorders>
          </w:tcPr>
          <w:p w14:paraId="4230CCC3" w14:textId="77777777" w:rsidR="008061A3" w:rsidRPr="008872DE" w:rsidRDefault="008061A3" w:rsidP="008F7D7C">
            <w:pPr>
              <w:spacing w:after="160" w:line="278"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8872DE">
              <w:rPr>
                <w:rFonts w:ascii="Times New Roman" w:eastAsia="CMR12" w:hAnsi="Times New Roman" w:cs="Times New Roman"/>
              </w:rPr>
              <w:t>0.0162. (0.0081)</w:t>
            </w:r>
          </w:p>
        </w:tc>
      </w:tr>
      <w:tr w:rsidR="008061A3" w:rsidRPr="008872DE" w14:paraId="23BC494C"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354" w:type="dxa"/>
            <w:noWrap/>
            <w:hideMark/>
          </w:tcPr>
          <w:p w14:paraId="6B2A1954"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Control</w:t>
            </w:r>
          </w:p>
        </w:tc>
        <w:tc>
          <w:tcPr>
            <w:tcW w:w="1236" w:type="dxa"/>
            <w:noWrap/>
            <w:hideMark/>
          </w:tcPr>
          <w:p w14:paraId="491AA02E"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116" w:type="dxa"/>
            <w:noWrap/>
            <w:hideMark/>
          </w:tcPr>
          <w:p w14:paraId="1D7FD782"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250" w:type="dxa"/>
            <w:noWrap/>
            <w:hideMark/>
          </w:tcPr>
          <w:p w14:paraId="4C7B650D"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043" w:type="dxa"/>
          </w:tcPr>
          <w:p w14:paraId="34E080DC" w14:textId="77777777" w:rsidR="008061A3" w:rsidRPr="008872DE" w:rsidRDefault="008061A3" w:rsidP="008F7D7C">
            <w:pPr>
              <w:spacing w:after="160" w:line="278"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8872DE">
              <w:rPr>
                <w:rFonts w:ascii="Times New Roman" w:eastAsia="CMR12" w:hAnsi="Times New Roman" w:cs="Times New Roman"/>
              </w:rPr>
              <w:t>YES</w:t>
            </w:r>
          </w:p>
        </w:tc>
      </w:tr>
      <w:tr w:rsidR="008061A3" w:rsidRPr="008872DE" w14:paraId="35CBA2D6"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354" w:type="dxa"/>
            <w:noWrap/>
            <w:hideMark/>
          </w:tcPr>
          <w:p w14:paraId="0954A621"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Province FE</w:t>
            </w:r>
          </w:p>
        </w:tc>
        <w:tc>
          <w:tcPr>
            <w:tcW w:w="1236" w:type="dxa"/>
            <w:noWrap/>
            <w:hideMark/>
          </w:tcPr>
          <w:p w14:paraId="0F75F856"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116" w:type="dxa"/>
            <w:noWrap/>
            <w:hideMark/>
          </w:tcPr>
          <w:p w14:paraId="3BC4C57F"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250" w:type="dxa"/>
            <w:noWrap/>
            <w:hideMark/>
          </w:tcPr>
          <w:p w14:paraId="06D97334"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043" w:type="dxa"/>
          </w:tcPr>
          <w:p w14:paraId="5F25521A" w14:textId="77777777" w:rsidR="008061A3" w:rsidRPr="008872DE" w:rsidRDefault="008061A3" w:rsidP="008F7D7C">
            <w:pPr>
              <w:spacing w:after="160" w:line="278"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8872DE">
              <w:rPr>
                <w:rFonts w:ascii="Times New Roman" w:eastAsia="CMR12" w:hAnsi="Times New Roman" w:cs="Times New Roman"/>
              </w:rPr>
              <w:t>YES</w:t>
            </w:r>
          </w:p>
        </w:tc>
      </w:tr>
      <w:tr w:rsidR="008061A3" w:rsidRPr="008872DE" w14:paraId="3DCFB50B"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354" w:type="dxa"/>
            <w:noWrap/>
            <w:hideMark/>
          </w:tcPr>
          <w:p w14:paraId="6032BB17"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Year FE</w:t>
            </w:r>
          </w:p>
        </w:tc>
        <w:tc>
          <w:tcPr>
            <w:tcW w:w="1236" w:type="dxa"/>
            <w:noWrap/>
            <w:hideMark/>
          </w:tcPr>
          <w:p w14:paraId="154048E9"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116" w:type="dxa"/>
            <w:noWrap/>
            <w:hideMark/>
          </w:tcPr>
          <w:p w14:paraId="5E39C72B"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250" w:type="dxa"/>
            <w:noWrap/>
            <w:hideMark/>
          </w:tcPr>
          <w:p w14:paraId="699AA31F"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043" w:type="dxa"/>
          </w:tcPr>
          <w:p w14:paraId="6C70C8AE" w14:textId="77777777" w:rsidR="008061A3" w:rsidRPr="008872DE" w:rsidRDefault="008061A3" w:rsidP="008F7D7C">
            <w:pPr>
              <w:spacing w:after="160" w:line="278"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8872DE">
              <w:rPr>
                <w:rFonts w:ascii="Times New Roman" w:eastAsia="CMR12" w:hAnsi="Times New Roman" w:cs="Times New Roman"/>
              </w:rPr>
              <w:t>YES</w:t>
            </w:r>
          </w:p>
        </w:tc>
      </w:tr>
      <w:tr w:rsidR="008061A3" w:rsidRPr="008872DE" w14:paraId="065D2E49"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354" w:type="dxa"/>
            <w:noWrap/>
            <w:hideMark/>
          </w:tcPr>
          <w:p w14:paraId="64614E52"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N</w:t>
            </w:r>
          </w:p>
        </w:tc>
        <w:tc>
          <w:tcPr>
            <w:tcW w:w="1236" w:type="dxa"/>
            <w:noWrap/>
            <w:hideMark/>
          </w:tcPr>
          <w:p w14:paraId="04068C24"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84</w:t>
            </w:r>
          </w:p>
        </w:tc>
        <w:tc>
          <w:tcPr>
            <w:tcW w:w="1116" w:type="dxa"/>
            <w:noWrap/>
            <w:hideMark/>
          </w:tcPr>
          <w:p w14:paraId="0A3AE738"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360</w:t>
            </w:r>
          </w:p>
        </w:tc>
        <w:tc>
          <w:tcPr>
            <w:tcW w:w="1250" w:type="dxa"/>
            <w:noWrap/>
            <w:hideMark/>
          </w:tcPr>
          <w:p w14:paraId="10C51448"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336</w:t>
            </w:r>
          </w:p>
        </w:tc>
        <w:tc>
          <w:tcPr>
            <w:tcW w:w="1043" w:type="dxa"/>
          </w:tcPr>
          <w:p w14:paraId="73A7C5D3" w14:textId="77777777" w:rsidR="008061A3" w:rsidRPr="008872DE" w:rsidRDefault="008061A3" w:rsidP="008F7D7C">
            <w:pPr>
              <w:spacing w:after="160" w:line="278"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8872DE">
              <w:rPr>
                <w:rFonts w:ascii="Times New Roman" w:eastAsia="CMR12" w:hAnsi="Times New Roman" w:cs="Times New Roman"/>
              </w:rPr>
              <w:t>348</w:t>
            </w:r>
          </w:p>
        </w:tc>
      </w:tr>
      <w:tr w:rsidR="008061A3" w:rsidRPr="008872DE" w14:paraId="5AAE6733"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354" w:type="dxa"/>
            <w:noWrap/>
            <w:hideMark/>
          </w:tcPr>
          <w:p w14:paraId="3FC55919"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R²</w:t>
            </w:r>
          </w:p>
        </w:tc>
        <w:tc>
          <w:tcPr>
            <w:tcW w:w="1236" w:type="dxa"/>
            <w:noWrap/>
            <w:hideMark/>
          </w:tcPr>
          <w:p w14:paraId="10F7DEDD"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0.8169</w:t>
            </w:r>
          </w:p>
        </w:tc>
        <w:tc>
          <w:tcPr>
            <w:tcW w:w="1116" w:type="dxa"/>
            <w:noWrap/>
            <w:hideMark/>
          </w:tcPr>
          <w:p w14:paraId="102D8267"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0.7141</w:t>
            </w:r>
          </w:p>
        </w:tc>
        <w:tc>
          <w:tcPr>
            <w:tcW w:w="1250" w:type="dxa"/>
            <w:noWrap/>
            <w:hideMark/>
          </w:tcPr>
          <w:p w14:paraId="3CF07326"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0.6912</w:t>
            </w:r>
          </w:p>
        </w:tc>
        <w:tc>
          <w:tcPr>
            <w:tcW w:w="1043" w:type="dxa"/>
          </w:tcPr>
          <w:p w14:paraId="6F7E4873" w14:textId="77777777" w:rsidR="008061A3" w:rsidRPr="008872DE" w:rsidRDefault="008061A3" w:rsidP="008F7D7C">
            <w:pPr>
              <w:spacing w:after="160" w:line="278"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8872DE">
              <w:rPr>
                <w:rFonts w:ascii="Times New Roman" w:eastAsia="CMR12" w:hAnsi="Times New Roman" w:cs="Times New Roman"/>
              </w:rPr>
              <w:t>0.7110</w:t>
            </w:r>
          </w:p>
        </w:tc>
      </w:tr>
    </w:tbl>
    <w:p w14:paraId="6FBA0071" w14:textId="77777777" w:rsidR="008061A3" w:rsidRDefault="008061A3" w:rsidP="008061A3">
      <w:pPr>
        <w:autoSpaceDE w:val="0"/>
        <w:autoSpaceDN w:val="0"/>
        <w:adjustRightInd w:val="0"/>
        <w:rPr>
          <w:rFonts w:eastAsia="CMR12"/>
          <w:sz w:val="20"/>
          <w:szCs w:val="20"/>
          <w14:ligatures w14:val="standardContextual"/>
        </w:rPr>
      </w:pPr>
      <w:r w:rsidRPr="0031513B">
        <w:rPr>
          <w:rFonts w:eastAsia="CMR12"/>
          <w:sz w:val="20"/>
          <w:szCs w:val="20"/>
          <w14:ligatures w14:val="standardContextual"/>
        </w:rPr>
        <w:t>Robust standard errors clustered by province parentheses, and values ***, **, *</w:t>
      </w:r>
      <w:proofErr w:type="gramStart"/>
      <w:r w:rsidRPr="0031513B">
        <w:rPr>
          <w:rFonts w:eastAsia="CMR12"/>
          <w:sz w:val="20"/>
          <w:szCs w:val="20"/>
          <w14:ligatures w14:val="standardContextual"/>
        </w:rPr>
        <w:t>, .</w:t>
      </w:r>
      <w:proofErr w:type="gramEnd"/>
      <w:r w:rsidRPr="0031513B">
        <w:rPr>
          <w:rFonts w:eastAsia="CMR12"/>
          <w:sz w:val="20"/>
          <w:szCs w:val="20"/>
          <w14:ligatures w14:val="standardContextual"/>
        </w:rPr>
        <w:t>, indicate 0.1%, 1%, 5%, and 10% significant levels, respectively. FE and N are the abbreviations for Fixed effects and number of observations, respectively.</w:t>
      </w:r>
    </w:p>
    <w:p w14:paraId="261F039E" w14:textId="77777777" w:rsidR="008061A3" w:rsidRPr="001A5490" w:rsidRDefault="008061A3" w:rsidP="008061A3">
      <w:pPr>
        <w:autoSpaceDE w:val="0"/>
        <w:autoSpaceDN w:val="0"/>
        <w:adjustRightInd w:val="0"/>
        <w:rPr>
          <w:rFonts w:eastAsia="CMR12"/>
          <w:sz w:val="20"/>
          <w:szCs w:val="20"/>
          <w14:ligatures w14:val="standardContextual"/>
        </w:rPr>
      </w:pPr>
    </w:p>
    <w:p w14:paraId="4DAFE4FD" w14:textId="77777777" w:rsidR="008061A3" w:rsidRPr="00834276" w:rsidRDefault="008061A3" w:rsidP="008061A3">
      <w:pPr>
        <w:pStyle w:val="Heading3"/>
        <w:rPr>
          <w:rFonts w:eastAsia="CMR12"/>
        </w:rPr>
      </w:pPr>
      <w:r>
        <w:rPr>
          <w:rFonts w:eastAsia="CMR12"/>
        </w:rPr>
        <w:t>4.4.</w:t>
      </w:r>
      <w:r w:rsidRPr="007F6C04">
        <w:rPr>
          <w:rFonts w:eastAsia="CMR12"/>
        </w:rPr>
        <w:t>4 Dynamic time windows test</w:t>
      </w:r>
    </w:p>
    <w:p w14:paraId="3D11098C" w14:textId="4201938D" w:rsidR="00E46CC7" w:rsidRDefault="008061A3" w:rsidP="008430EF">
      <w:pPr>
        <w:pStyle w:val="Paragraph"/>
        <w:jc w:val="both"/>
        <w:rPr>
          <w:shd w:val="clear" w:color="auto" w:fill="FFFFFF"/>
        </w:rPr>
      </w:pPr>
      <w:r w:rsidRPr="007F6C04">
        <w:rPr>
          <w:shd w:val="clear" w:color="auto" w:fill="FFFFFF"/>
        </w:rPr>
        <w:t xml:space="preserve">    </w:t>
      </w:r>
      <w:bookmarkStart w:id="54" w:name="_Toc202190491"/>
      <w:r w:rsidRPr="00046F57">
        <w:rPr>
          <w:shd w:val="clear" w:color="auto" w:fill="FFFFFF"/>
        </w:rPr>
        <w:t xml:space="preserve">This study builds on the methodology of </w:t>
      </w:r>
      <w:r w:rsidRPr="00046F57">
        <w:rPr>
          <w:rFonts w:eastAsiaTheme="minorEastAsia"/>
        </w:rPr>
        <w:fldChar w:fldCharType="begin"/>
      </w:r>
      <w:r w:rsidRPr="00046F57">
        <w:rPr>
          <w:rFonts w:eastAsiaTheme="minorEastAsia"/>
        </w:rPr>
        <w:instrText xml:space="preserve"> ADDIN ZOTERO_ITEM CSL_CITATION {"citationID":"nKfvj70Z","properties":{"formattedCitation":"(X. Li et al., 2024)","plainCitation":"(X. Li et al., 2024)","noteIndex":0},"citationItems":[{"id":173,"uris":["http://zotero.org/users/local/wH06Ygim/items/UVVKQSY8"],"itemData":{"id":173,"type":"article-journal","abstract":"Abstract\n            The carbon emissions trading system (CETS) is a helpful policy instrument for separating carbon emissions from economic expansion, and it significantly impacts energy efficiency (EE). This study uses 30 Chinese provinces from 2007 to 2020 as its research samples, and classifies energy efficiency into single-factor energy efficiency (SFE) and total-factor energy efficiency (TFE), using the difference-in-differences model to examine the effect and mechanism of the CETS on EE. As an additional tool to assess the efficacy of the CETS, the corresponding evolution of the rebound effect of energy-related carbon emissions (RECE) is also calculated. This study shows that the CETS can significantly improve EE in China's pilot provinces. The influence mechanism indicates that the effect of the CETS on EE is influenced by the level of government governance, green innovation, and industrial structure optimization. Further study finds that after the CETS was carried out, the RECE in pilot provinces was higher than that in non-pilot provinces, and 31.4% of carbon emissions reduced by EE improvement rebounded. Therefore, the CETS has yet to realize its full carbon reduction potential. The study offers specific policy proposals for the enhancement of China's CETS in light of the aforementioned findings.","container-title":"Scientific Reports","DOI":"10.1038/s41598-023-50621-3","ISSN":"2045-2322","issue":"1","journalAbbreviation":"Sci Rep","language":"en","page":"279","source":"DOI.org (Crossref)","title":"Practical effects of carbon emissions trading system on energy efficiency","volume":"14","author":[{"family":"Li","given":"Xue"},{"family":"Cao","given":"Aochen"},{"family":"Zhang","given":"Yuhan"},{"family":"Zhao","given":"Yuting"},{"family":"Chen","given":"Lulu"},{"family":"Jiang","given":"Pan"},{"family":"Liu","given":"Liang"}],"issued":{"date-parts":[["2024",1,2]]}}}],"schema":"https://github.com/citation-style-language/schema/raw/master/csl-citation.json"} </w:instrText>
      </w:r>
      <w:r w:rsidRPr="00046F57">
        <w:rPr>
          <w:rFonts w:eastAsiaTheme="minorEastAsia"/>
        </w:rPr>
        <w:fldChar w:fldCharType="separate"/>
      </w:r>
      <w:r w:rsidRPr="00046F57">
        <w:rPr>
          <w:rFonts w:eastAsiaTheme="minorEastAsia"/>
        </w:rPr>
        <w:t>(X. Li et al., 2024)</w:t>
      </w:r>
      <w:r w:rsidRPr="00046F57">
        <w:rPr>
          <w:rFonts w:eastAsiaTheme="minorEastAsia"/>
        </w:rPr>
        <w:fldChar w:fldCharType="end"/>
      </w:r>
      <w:r w:rsidRPr="00046F57">
        <w:rPr>
          <w:rFonts w:eastAsiaTheme="minorEastAsia"/>
        </w:rPr>
        <w:t xml:space="preserve"> </w:t>
      </w:r>
      <w:r w:rsidRPr="00046F57">
        <w:rPr>
          <w:shd w:val="clear" w:color="auto" w:fill="FFFFFF"/>
        </w:rPr>
        <w:t xml:space="preserve"> to examine how the impact of the CETS on PGE varies over different time periods by adjusting the time window around the policy’s introduction in 2013. We analyse time windows of 1, 2, 3, and 4 years before and after 2013 to assess the policy’s effect. The results, presented in </w:t>
      </w:r>
      <w:r w:rsidR="00E46CC7" w:rsidRPr="00E46CC7">
        <w:rPr>
          <w:rStyle w:val="Hyperlink"/>
          <w:b/>
          <w:bCs/>
          <w:noProof/>
          <w:u w:val="none"/>
        </w:rPr>
        <w:t>Tab</w:t>
      </w:r>
      <w:r w:rsidR="00E46CC7" w:rsidRPr="00E46CC7">
        <w:rPr>
          <w:rStyle w:val="Hyperlink"/>
          <w:b/>
          <w:bCs/>
          <w:noProof/>
          <w:u w:val="none"/>
        </w:rPr>
        <w:t>l</w:t>
      </w:r>
      <w:r w:rsidR="00E46CC7" w:rsidRPr="00E46CC7">
        <w:rPr>
          <w:rStyle w:val="Hyperlink"/>
          <w:b/>
          <w:bCs/>
          <w:noProof/>
          <w:u w:val="none"/>
        </w:rPr>
        <w:t xml:space="preserve">e </w:t>
      </w:r>
      <w:r w:rsidR="00F25894">
        <w:rPr>
          <w:rStyle w:val="Hyperlink"/>
          <w:b/>
          <w:bCs/>
          <w:noProof/>
          <w:u w:val="none"/>
        </w:rPr>
        <w:t>4</w:t>
      </w:r>
      <w:r w:rsidR="00E46CC7" w:rsidRPr="00F25894">
        <w:rPr>
          <w:rStyle w:val="Hyperlink"/>
          <w:noProof/>
          <w:color w:val="auto"/>
          <w:u w:val="none"/>
        </w:rPr>
        <w:t>,</w:t>
      </w:r>
      <w:r w:rsidR="00E46CC7" w:rsidRPr="00E46CC7">
        <w:rPr>
          <w:rStyle w:val="Hyperlink"/>
          <w:noProof/>
          <w:u w:val="none"/>
        </w:rPr>
        <w:t xml:space="preserve"> </w:t>
      </w:r>
      <w:r w:rsidRPr="00046F57">
        <w:rPr>
          <w:shd w:val="clear" w:color="auto" w:fill="FFFFFF"/>
        </w:rPr>
        <w:t>show that the CETS’ effect on TFPGE remains stable across these time windows, with the estimated coefficients and their statistical significance consistently increasing up to the 3-year window before slightly stabilizing. This pattern underscores the robustness and reliability of the findings, confirming the sustained positive impact of the CETS on TFPGE over time.</w:t>
      </w:r>
      <w:bookmarkEnd w:id="54"/>
    </w:p>
    <w:p w14:paraId="6211842E" w14:textId="77777777" w:rsidR="00551707" w:rsidRDefault="00551707" w:rsidP="00551707">
      <w:pPr>
        <w:pStyle w:val="Newparagraph"/>
      </w:pPr>
    </w:p>
    <w:p w14:paraId="7B7078A0" w14:textId="025AE88E" w:rsidR="008061A3" w:rsidRPr="008872DE" w:rsidRDefault="008061A3" w:rsidP="008061A3">
      <w:pPr>
        <w:pStyle w:val="Tabletitle"/>
      </w:pPr>
      <w:bookmarkStart w:id="55" w:name="_Toc197416830"/>
      <w:bookmarkStart w:id="56" w:name="_Toc202190492"/>
      <w:r w:rsidRPr="008872DE">
        <w:rPr>
          <w:b/>
          <w:bCs/>
        </w:rPr>
        <w:lastRenderedPageBreak/>
        <w:t xml:space="preserve">Table </w:t>
      </w:r>
      <w:r w:rsidR="00F25894">
        <w:rPr>
          <w:b/>
          <w:bCs/>
        </w:rPr>
        <w:t>4</w:t>
      </w:r>
      <w:r w:rsidRPr="008872DE">
        <w:rPr>
          <w:b/>
          <w:bCs/>
        </w:rPr>
        <w:t>.</w:t>
      </w:r>
      <w:r w:rsidRPr="008872DE">
        <w:t xml:space="preserve"> Results of the dynamic time window test</w:t>
      </w:r>
      <w:bookmarkEnd w:id="55"/>
      <w:bookmarkEnd w:id="56"/>
    </w:p>
    <w:tbl>
      <w:tblPr>
        <w:tblStyle w:val="PlainTable2"/>
        <w:tblW w:w="0" w:type="auto"/>
        <w:tblLook w:val="04A0" w:firstRow="1" w:lastRow="0" w:firstColumn="1" w:lastColumn="0" w:noHBand="0" w:noVBand="1"/>
      </w:tblPr>
      <w:tblGrid>
        <w:gridCol w:w="2354"/>
        <w:gridCol w:w="1116"/>
        <w:gridCol w:w="1236"/>
        <w:gridCol w:w="1236"/>
        <w:gridCol w:w="1250"/>
      </w:tblGrid>
      <w:tr w:rsidR="008061A3" w:rsidRPr="008872DE" w14:paraId="4735C463" w14:textId="77777777" w:rsidTr="008F7D7C">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2354" w:type="dxa"/>
            <w:vMerge w:val="restart"/>
            <w:tcBorders>
              <w:top w:val="single" w:sz="4" w:space="0" w:color="7F7F7F" w:themeColor="text1" w:themeTint="80"/>
              <w:left w:val="nil"/>
              <w:bottom w:val="single" w:sz="12" w:space="0" w:color="auto"/>
              <w:right w:val="nil"/>
            </w:tcBorders>
            <w:noWrap/>
            <w:hideMark/>
          </w:tcPr>
          <w:p w14:paraId="24D09806"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 xml:space="preserve">Variables </w:t>
            </w:r>
          </w:p>
        </w:tc>
        <w:tc>
          <w:tcPr>
            <w:tcW w:w="4838" w:type="dxa"/>
            <w:gridSpan w:val="4"/>
            <w:tcBorders>
              <w:top w:val="single" w:sz="4" w:space="0" w:color="7F7F7F" w:themeColor="text1" w:themeTint="80"/>
              <w:left w:val="nil"/>
              <w:right w:val="nil"/>
            </w:tcBorders>
            <w:noWrap/>
            <w:hideMark/>
          </w:tcPr>
          <w:p w14:paraId="7164E86E" w14:textId="77777777" w:rsidR="008061A3" w:rsidRPr="008872DE" w:rsidRDefault="008061A3" w:rsidP="008F7D7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b w:val="0"/>
                <w:bCs w:val="0"/>
              </w:rPr>
            </w:pPr>
            <w:r w:rsidRPr="008872DE">
              <w:rPr>
                <w:rFonts w:ascii="Times New Roman" w:eastAsia="CMR12" w:hAnsi="Times New Roman" w:cs="Times New Roman"/>
                <w:b w:val="0"/>
                <w:bCs w:val="0"/>
              </w:rPr>
              <w:t>Dynamic time window test</w:t>
            </w:r>
          </w:p>
        </w:tc>
      </w:tr>
      <w:tr w:rsidR="008061A3" w:rsidRPr="008872DE" w14:paraId="39EAB708" w14:textId="77777777" w:rsidTr="008F7D7C">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0" w:type="auto"/>
            <w:vMerge/>
            <w:tcBorders>
              <w:left w:val="nil"/>
              <w:bottom w:val="single" w:sz="12" w:space="0" w:color="auto"/>
              <w:right w:val="nil"/>
            </w:tcBorders>
            <w:vAlign w:val="center"/>
            <w:hideMark/>
          </w:tcPr>
          <w:p w14:paraId="74BBF0B0" w14:textId="77777777" w:rsidR="008061A3" w:rsidRPr="008872DE" w:rsidRDefault="008061A3" w:rsidP="008F7D7C">
            <w:pPr>
              <w:rPr>
                <w:rFonts w:ascii="Times New Roman" w:eastAsia="CMR12" w:hAnsi="Times New Roman" w:cs="Times New Roman"/>
              </w:rPr>
            </w:pPr>
          </w:p>
        </w:tc>
        <w:tc>
          <w:tcPr>
            <w:tcW w:w="1116" w:type="dxa"/>
            <w:tcBorders>
              <w:left w:val="nil"/>
              <w:bottom w:val="single" w:sz="12" w:space="0" w:color="auto"/>
              <w:right w:val="nil"/>
            </w:tcBorders>
            <w:noWrap/>
            <w:hideMark/>
          </w:tcPr>
          <w:p w14:paraId="690D9143"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 year</w:t>
            </w:r>
          </w:p>
        </w:tc>
        <w:tc>
          <w:tcPr>
            <w:tcW w:w="1236" w:type="dxa"/>
            <w:tcBorders>
              <w:left w:val="nil"/>
              <w:bottom w:val="single" w:sz="12" w:space="0" w:color="auto"/>
              <w:right w:val="nil"/>
            </w:tcBorders>
            <w:noWrap/>
            <w:hideMark/>
          </w:tcPr>
          <w:p w14:paraId="488AA4F6"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 2 </w:t>
            </w:r>
            <w:proofErr w:type="gramStart"/>
            <w:r w:rsidRPr="008872DE">
              <w:rPr>
                <w:rFonts w:ascii="Times New Roman" w:eastAsia="CMR12" w:hAnsi="Times New Roman" w:cs="Times New Roman"/>
              </w:rPr>
              <w:t>year</w:t>
            </w:r>
            <w:proofErr w:type="gramEnd"/>
          </w:p>
        </w:tc>
        <w:tc>
          <w:tcPr>
            <w:tcW w:w="1236" w:type="dxa"/>
            <w:tcBorders>
              <w:left w:val="nil"/>
              <w:bottom w:val="single" w:sz="12" w:space="0" w:color="auto"/>
              <w:right w:val="nil"/>
            </w:tcBorders>
            <w:noWrap/>
            <w:hideMark/>
          </w:tcPr>
          <w:p w14:paraId="09E7413F"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3 </w:t>
            </w:r>
            <w:proofErr w:type="gramStart"/>
            <w:r w:rsidRPr="008872DE">
              <w:rPr>
                <w:rFonts w:ascii="Times New Roman" w:eastAsia="CMR12" w:hAnsi="Times New Roman" w:cs="Times New Roman"/>
              </w:rPr>
              <w:t>year</w:t>
            </w:r>
            <w:proofErr w:type="gramEnd"/>
          </w:p>
        </w:tc>
        <w:tc>
          <w:tcPr>
            <w:tcW w:w="1250" w:type="dxa"/>
            <w:tcBorders>
              <w:left w:val="nil"/>
              <w:bottom w:val="single" w:sz="12" w:space="0" w:color="auto"/>
              <w:right w:val="nil"/>
            </w:tcBorders>
            <w:noWrap/>
            <w:hideMark/>
          </w:tcPr>
          <w:p w14:paraId="07BEB321"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4 </w:t>
            </w:r>
            <w:proofErr w:type="gramStart"/>
            <w:r w:rsidRPr="008872DE">
              <w:rPr>
                <w:rFonts w:ascii="Times New Roman" w:eastAsia="CMR12" w:hAnsi="Times New Roman" w:cs="Times New Roman"/>
              </w:rPr>
              <w:t>year</w:t>
            </w:r>
            <w:proofErr w:type="gramEnd"/>
          </w:p>
        </w:tc>
      </w:tr>
      <w:tr w:rsidR="008061A3" w:rsidRPr="008872DE" w14:paraId="24C50456" w14:textId="77777777" w:rsidTr="008F7D7C">
        <w:trPr>
          <w:trHeight w:val="285"/>
        </w:trPr>
        <w:tc>
          <w:tcPr>
            <w:cnfStyle w:val="001000000000" w:firstRow="0" w:lastRow="0" w:firstColumn="1" w:lastColumn="0" w:oddVBand="0" w:evenVBand="0" w:oddHBand="0" w:evenHBand="0" w:firstRowFirstColumn="0" w:firstRowLastColumn="0" w:lastRowFirstColumn="0" w:lastRowLastColumn="0"/>
            <w:tcW w:w="2354" w:type="dxa"/>
            <w:tcBorders>
              <w:top w:val="single" w:sz="12" w:space="0" w:color="auto"/>
              <w:left w:val="nil"/>
              <w:bottom w:val="nil"/>
              <w:right w:val="nil"/>
            </w:tcBorders>
            <w:noWrap/>
            <w:hideMark/>
          </w:tcPr>
          <w:p w14:paraId="7C7C70AA"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TFGE</w:t>
            </w:r>
          </w:p>
        </w:tc>
        <w:tc>
          <w:tcPr>
            <w:tcW w:w="1116" w:type="dxa"/>
            <w:tcBorders>
              <w:top w:val="single" w:sz="12" w:space="0" w:color="auto"/>
              <w:left w:val="nil"/>
              <w:bottom w:val="nil"/>
              <w:right w:val="nil"/>
            </w:tcBorders>
            <w:noWrap/>
            <w:hideMark/>
          </w:tcPr>
          <w:p w14:paraId="4CFB23E4"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0.0120**</w:t>
            </w:r>
          </w:p>
          <w:p w14:paraId="599CBEAA"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(2.47)</w:t>
            </w:r>
          </w:p>
        </w:tc>
        <w:tc>
          <w:tcPr>
            <w:tcW w:w="1236" w:type="dxa"/>
            <w:tcBorders>
              <w:top w:val="single" w:sz="12" w:space="0" w:color="auto"/>
              <w:left w:val="nil"/>
              <w:bottom w:val="nil"/>
              <w:right w:val="nil"/>
            </w:tcBorders>
            <w:noWrap/>
            <w:hideMark/>
          </w:tcPr>
          <w:p w14:paraId="6D4B5B9E"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0.0203*** (3.10)</w:t>
            </w:r>
          </w:p>
        </w:tc>
        <w:tc>
          <w:tcPr>
            <w:tcW w:w="1236" w:type="dxa"/>
            <w:tcBorders>
              <w:top w:val="single" w:sz="12" w:space="0" w:color="auto"/>
              <w:left w:val="nil"/>
              <w:bottom w:val="nil"/>
              <w:right w:val="nil"/>
            </w:tcBorders>
            <w:noWrap/>
            <w:hideMark/>
          </w:tcPr>
          <w:p w14:paraId="7F06B0C2"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0.0233*** (3.09)</w:t>
            </w:r>
          </w:p>
        </w:tc>
        <w:tc>
          <w:tcPr>
            <w:tcW w:w="1250" w:type="dxa"/>
            <w:tcBorders>
              <w:top w:val="single" w:sz="12" w:space="0" w:color="auto"/>
              <w:left w:val="nil"/>
              <w:bottom w:val="nil"/>
              <w:right w:val="nil"/>
            </w:tcBorders>
            <w:noWrap/>
            <w:hideMark/>
          </w:tcPr>
          <w:p w14:paraId="3EB80620"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0.0218**</w:t>
            </w:r>
          </w:p>
          <w:p w14:paraId="34CFD902"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(2.67)</w:t>
            </w:r>
          </w:p>
        </w:tc>
      </w:tr>
      <w:tr w:rsidR="008061A3" w:rsidRPr="008872DE" w14:paraId="4E463B7A" w14:textId="77777777" w:rsidTr="008F7D7C">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2354" w:type="dxa"/>
            <w:tcBorders>
              <w:left w:val="nil"/>
              <w:right w:val="nil"/>
            </w:tcBorders>
            <w:noWrap/>
            <w:hideMark/>
          </w:tcPr>
          <w:p w14:paraId="35440C38"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N</w:t>
            </w:r>
          </w:p>
        </w:tc>
        <w:tc>
          <w:tcPr>
            <w:tcW w:w="1116" w:type="dxa"/>
            <w:tcBorders>
              <w:left w:val="nil"/>
              <w:right w:val="nil"/>
            </w:tcBorders>
            <w:noWrap/>
            <w:hideMark/>
          </w:tcPr>
          <w:p w14:paraId="0E9583EF"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60</w:t>
            </w:r>
          </w:p>
        </w:tc>
        <w:tc>
          <w:tcPr>
            <w:tcW w:w="1236" w:type="dxa"/>
            <w:tcBorders>
              <w:left w:val="nil"/>
              <w:right w:val="nil"/>
            </w:tcBorders>
            <w:noWrap/>
            <w:hideMark/>
          </w:tcPr>
          <w:p w14:paraId="18F31529"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120</w:t>
            </w:r>
          </w:p>
        </w:tc>
        <w:tc>
          <w:tcPr>
            <w:tcW w:w="1236" w:type="dxa"/>
            <w:tcBorders>
              <w:left w:val="nil"/>
              <w:right w:val="nil"/>
            </w:tcBorders>
            <w:noWrap/>
            <w:hideMark/>
          </w:tcPr>
          <w:p w14:paraId="407F7540"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180</w:t>
            </w:r>
          </w:p>
        </w:tc>
        <w:tc>
          <w:tcPr>
            <w:tcW w:w="1250" w:type="dxa"/>
            <w:tcBorders>
              <w:left w:val="nil"/>
              <w:right w:val="nil"/>
            </w:tcBorders>
            <w:noWrap/>
            <w:hideMark/>
          </w:tcPr>
          <w:p w14:paraId="74C1EA4B"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240</w:t>
            </w:r>
          </w:p>
        </w:tc>
      </w:tr>
    </w:tbl>
    <w:p w14:paraId="77649773" w14:textId="77777777" w:rsidR="008061A3" w:rsidRDefault="008061A3" w:rsidP="008061A3">
      <w:pPr>
        <w:rPr>
          <w:rFonts w:eastAsia="CMR12"/>
          <w:sz w:val="20"/>
          <w:szCs w:val="20"/>
        </w:rPr>
      </w:pPr>
      <w:r w:rsidRPr="0031513B">
        <w:rPr>
          <w:rFonts w:eastAsia="CMR12"/>
          <w:sz w:val="20"/>
          <w:szCs w:val="20"/>
        </w:rPr>
        <w:t>Robust standard errors clustered by province parentheses, and values ***, **, *</w:t>
      </w:r>
      <w:proofErr w:type="gramStart"/>
      <w:r w:rsidRPr="0031513B">
        <w:rPr>
          <w:rFonts w:eastAsia="CMR12"/>
          <w:sz w:val="20"/>
          <w:szCs w:val="20"/>
        </w:rPr>
        <w:t>, .</w:t>
      </w:r>
      <w:proofErr w:type="gramEnd"/>
      <w:r w:rsidRPr="0031513B">
        <w:rPr>
          <w:rFonts w:eastAsia="CMR12"/>
          <w:sz w:val="20"/>
          <w:szCs w:val="20"/>
        </w:rPr>
        <w:t>, indicate 0.1%, 1%, 5%, and 10% significant levels, respectively. N is the abbreviation for the number of observations</w:t>
      </w:r>
      <w:r>
        <w:rPr>
          <w:rFonts w:eastAsia="CMR12"/>
          <w:sz w:val="20"/>
          <w:szCs w:val="20"/>
        </w:rPr>
        <w:t>.</w:t>
      </w:r>
    </w:p>
    <w:p w14:paraId="25C6D0B6" w14:textId="77777777" w:rsidR="008061A3" w:rsidRPr="001A5490" w:rsidRDefault="008061A3" w:rsidP="008061A3">
      <w:pPr>
        <w:rPr>
          <w:rFonts w:eastAsia="CMR12"/>
          <w:sz w:val="20"/>
          <w:szCs w:val="20"/>
        </w:rPr>
      </w:pPr>
    </w:p>
    <w:p w14:paraId="691318B3" w14:textId="77777777" w:rsidR="008061A3" w:rsidRPr="00834276" w:rsidRDefault="008061A3" w:rsidP="008061A3">
      <w:pPr>
        <w:pStyle w:val="Heading3"/>
        <w:rPr>
          <w:rFonts w:eastAsia="CMR12"/>
        </w:rPr>
      </w:pPr>
      <w:r>
        <w:rPr>
          <w:rFonts w:eastAsia="CMR12"/>
        </w:rPr>
        <w:t>4.4.</w:t>
      </w:r>
      <w:r w:rsidRPr="007F6C04">
        <w:rPr>
          <w:rFonts w:eastAsia="CMR12"/>
        </w:rPr>
        <w:t>5 Quantile regression</w:t>
      </w:r>
    </w:p>
    <w:p w14:paraId="3F9C4107" w14:textId="10ECC782" w:rsidR="008430EF" w:rsidRDefault="008061A3" w:rsidP="00A9042F">
      <w:pPr>
        <w:pStyle w:val="TableofFigures"/>
        <w:tabs>
          <w:tab w:val="right" w:leader="dot" w:pos="9350"/>
        </w:tabs>
        <w:spacing w:before="240"/>
        <w:jc w:val="both"/>
        <w:rPr>
          <w:rFonts w:eastAsia="CMR12"/>
        </w:rPr>
      </w:pPr>
      <w:r w:rsidRPr="007F6C04">
        <w:rPr>
          <w:rFonts w:eastAsia="CMR12"/>
        </w:rPr>
        <w:t xml:space="preserve">    </w:t>
      </w:r>
      <w:bookmarkStart w:id="57" w:name="_Toc202190493"/>
      <w:r w:rsidRPr="00046F57">
        <w:rPr>
          <w:rFonts w:eastAsia="CMR12"/>
        </w:rPr>
        <w:t xml:space="preserve">Quantile regression helps address issues like outliers, collinearity, and heteroscedasticity, which can destabilize regression coefficients and skew results. By examining the CETS policy’s impact on PGE across different quantiles, we can mitigate these concerns. </w:t>
      </w:r>
      <w:bookmarkStart w:id="58" w:name="_Hlk196842763"/>
      <w:r w:rsidR="00E46CC7" w:rsidRPr="00E46CC7">
        <w:rPr>
          <w:rStyle w:val="Hyperlink"/>
          <w:noProof/>
          <w:u w:val="none"/>
        </w:rPr>
        <w:fldChar w:fldCharType="begin"/>
      </w:r>
      <w:r w:rsidR="00E46CC7" w:rsidRPr="00E46CC7">
        <w:rPr>
          <w:rStyle w:val="Hyperlink"/>
          <w:noProof/>
          <w:u w:val="none"/>
        </w:rPr>
        <w:instrText xml:space="preserve"> </w:instrText>
      </w:r>
      <w:r w:rsidR="00E46CC7" w:rsidRPr="00E46CC7">
        <w:rPr>
          <w:noProof/>
        </w:rPr>
        <w:instrText>HYPERLINK \l "_Toc202190494"</w:instrText>
      </w:r>
      <w:r w:rsidR="00E46CC7" w:rsidRPr="00E46CC7">
        <w:rPr>
          <w:rStyle w:val="Hyperlink"/>
          <w:noProof/>
          <w:u w:val="none"/>
        </w:rPr>
        <w:instrText xml:space="preserve"> </w:instrText>
      </w:r>
      <w:r w:rsidR="00E46CC7" w:rsidRPr="00E46CC7">
        <w:rPr>
          <w:rStyle w:val="Hyperlink"/>
          <w:noProof/>
          <w:u w:val="none"/>
        </w:rPr>
      </w:r>
      <w:r w:rsidR="00E46CC7" w:rsidRPr="00E46CC7">
        <w:rPr>
          <w:rStyle w:val="Hyperlink"/>
          <w:noProof/>
          <w:u w:val="none"/>
        </w:rPr>
        <w:fldChar w:fldCharType="separate"/>
      </w:r>
      <w:r w:rsidR="00E46CC7" w:rsidRPr="00E46CC7">
        <w:rPr>
          <w:rStyle w:val="Hyperlink"/>
          <w:b/>
          <w:bCs/>
          <w:noProof/>
          <w:u w:val="none"/>
        </w:rPr>
        <w:t xml:space="preserve">Table </w:t>
      </w:r>
      <w:r w:rsidR="00F25894">
        <w:rPr>
          <w:rStyle w:val="Hyperlink"/>
          <w:b/>
          <w:bCs/>
          <w:noProof/>
          <w:u w:val="none"/>
        </w:rPr>
        <w:t>5</w:t>
      </w:r>
      <w:r w:rsidR="00E46CC7" w:rsidRPr="00E46CC7">
        <w:rPr>
          <w:rStyle w:val="Hyperlink"/>
          <w:noProof/>
          <w:u w:val="none"/>
        </w:rPr>
        <w:t xml:space="preserve"> </w:t>
      </w:r>
      <w:r w:rsidR="00E46CC7" w:rsidRPr="00E46CC7">
        <w:rPr>
          <w:rStyle w:val="Hyperlink"/>
          <w:noProof/>
          <w:u w:val="none"/>
        </w:rPr>
        <w:fldChar w:fldCharType="end"/>
      </w:r>
      <w:r w:rsidRPr="00046F57">
        <w:rPr>
          <w:rFonts w:eastAsia="CMR12"/>
        </w:rPr>
        <w:t>presents the results, showing that the main explanatory variable of TFPGE, the DID term (Treat x Post), has significant coefficients at the 30%, 60%, and 90% quantiles (0.150, p = 0.017; 0.196, p = 0.045; 0.097, p = 0.061, respectively). This indicates robustness of the baseline regression across varying efficiency levels.</w:t>
      </w:r>
      <w:bookmarkEnd w:id="57"/>
      <w:bookmarkEnd w:id="58"/>
    </w:p>
    <w:p w14:paraId="34BB1FCF" w14:textId="77777777" w:rsidR="00F25894" w:rsidRDefault="00F25894" w:rsidP="00F25894">
      <w:pPr>
        <w:rPr>
          <w:rFonts w:eastAsia="CMR12"/>
          <w:lang w:val="en-GB" w:eastAsia="en-GB"/>
        </w:rPr>
      </w:pPr>
    </w:p>
    <w:p w14:paraId="2720D6C3" w14:textId="77777777" w:rsidR="00F25894" w:rsidRDefault="00F25894" w:rsidP="00F25894">
      <w:pPr>
        <w:rPr>
          <w:rFonts w:eastAsia="CMR12"/>
          <w:lang w:val="en-GB" w:eastAsia="en-GB"/>
        </w:rPr>
      </w:pPr>
    </w:p>
    <w:p w14:paraId="57344753" w14:textId="77777777" w:rsidR="00F25894" w:rsidRDefault="00F25894" w:rsidP="00F25894">
      <w:pPr>
        <w:rPr>
          <w:rFonts w:eastAsia="CMR12"/>
          <w:lang w:val="en-GB" w:eastAsia="en-GB"/>
        </w:rPr>
      </w:pPr>
    </w:p>
    <w:p w14:paraId="6CCB2231" w14:textId="77777777" w:rsidR="00F25894" w:rsidRDefault="00F25894" w:rsidP="00F25894">
      <w:pPr>
        <w:rPr>
          <w:rFonts w:eastAsia="CMR12"/>
          <w:lang w:val="en-GB" w:eastAsia="en-GB"/>
        </w:rPr>
      </w:pPr>
    </w:p>
    <w:p w14:paraId="75267464" w14:textId="77777777" w:rsidR="00F25894" w:rsidRDefault="00F25894" w:rsidP="00F25894">
      <w:pPr>
        <w:rPr>
          <w:rFonts w:eastAsia="CMR12"/>
          <w:lang w:val="en-GB" w:eastAsia="en-GB"/>
        </w:rPr>
      </w:pPr>
    </w:p>
    <w:p w14:paraId="45107FFC" w14:textId="77777777" w:rsidR="00F25894" w:rsidRPr="00F25894" w:rsidRDefault="00F25894" w:rsidP="00F25894">
      <w:pPr>
        <w:rPr>
          <w:rFonts w:eastAsia="CMR12"/>
          <w:lang w:val="en-GB" w:eastAsia="en-GB"/>
        </w:rPr>
      </w:pPr>
    </w:p>
    <w:p w14:paraId="62672A2C" w14:textId="4D494E07" w:rsidR="008061A3" w:rsidRPr="008872DE" w:rsidRDefault="008061A3" w:rsidP="008061A3">
      <w:pPr>
        <w:pStyle w:val="Tabletitle"/>
      </w:pPr>
      <w:bookmarkStart w:id="59" w:name="_Toc197416831"/>
      <w:bookmarkStart w:id="60" w:name="_Toc202190494"/>
      <w:r w:rsidRPr="008872DE">
        <w:rPr>
          <w:b/>
          <w:bCs/>
        </w:rPr>
        <w:lastRenderedPageBreak/>
        <w:t xml:space="preserve">Table </w:t>
      </w:r>
      <w:r w:rsidR="00F25894">
        <w:rPr>
          <w:b/>
          <w:bCs/>
        </w:rPr>
        <w:t>5</w:t>
      </w:r>
      <w:r w:rsidRPr="008872DE">
        <w:rPr>
          <w:b/>
          <w:bCs/>
        </w:rPr>
        <w:t>.</w:t>
      </w:r>
      <w:r w:rsidRPr="008872DE">
        <w:t xml:space="preserve"> </w:t>
      </w:r>
      <w:r w:rsidRPr="008872DE">
        <w:rPr>
          <w:rFonts w:eastAsia="CMR12"/>
        </w:rPr>
        <w:t>Quantile regression results</w:t>
      </w:r>
      <w:bookmarkEnd w:id="59"/>
      <w:bookmarkEnd w:id="60"/>
    </w:p>
    <w:tbl>
      <w:tblPr>
        <w:tblStyle w:val="PlainTable2"/>
        <w:tblW w:w="7330" w:type="dxa"/>
        <w:tblLook w:val="04A0" w:firstRow="1" w:lastRow="0" w:firstColumn="1" w:lastColumn="0" w:noHBand="0" w:noVBand="1"/>
      </w:tblPr>
      <w:tblGrid>
        <w:gridCol w:w="1523"/>
        <w:gridCol w:w="1987"/>
        <w:gridCol w:w="1986"/>
        <w:gridCol w:w="1834"/>
      </w:tblGrid>
      <w:tr w:rsidR="008061A3" w:rsidRPr="008872DE" w14:paraId="10F440F7" w14:textId="77777777" w:rsidTr="008F7D7C">
        <w:trPr>
          <w:cnfStyle w:val="100000000000" w:firstRow="1" w:lastRow="0" w:firstColumn="0" w:lastColumn="0" w:oddVBand="0" w:evenVBand="0" w:oddHBand="0"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523" w:type="dxa"/>
            <w:vMerge w:val="restart"/>
            <w:noWrap/>
            <w:hideMark/>
          </w:tcPr>
          <w:p w14:paraId="2AC9CEF3"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rPr>
              <w:t>variables</w:t>
            </w:r>
          </w:p>
        </w:tc>
        <w:tc>
          <w:tcPr>
            <w:tcW w:w="5807" w:type="dxa"/>
            <w:gridSpan w:val="3"/>
            <w:noWrap/>
            <w:hideMark/>
          </w:tcPr>
          <w:p w14:paraId="1B150883" w14:textId="77777777" w:rsidR="008061A3" w:rsidRPr="008872DE" w:rsidRDefault="008061A3" w:rsidP="008F7D7C">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TFGE</w:t>
            </w:r>
          </w:p>
        </w:tc>
      </w:tr>
      <w:tr w:rsidR="008061A3" w:rsidRPr="008872DE" w14:paraId="73A490E0" w14:textId="77777777" w:rsidTr="008F7D7C">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0" w:type="auto"/>
            <w:vMerge/>
            <w:tcBorders>
              <w:bottom w:val="single" w:sz="12" w:space="0" w:color="auto"/>
            </w:tcBorders>
            <w:hideMark/>
          </w:tcPr>
          <w:p w14:paraId="056D0020" w14:textId="77777777" w:rsidR="008061A3" w:rsidRPr="008872DE" w:rsidRDefault="008061A3" w:rsidP="008F7D7C">
            <w:pPr>
              <w:rPr>
                <w:rFonts w:ascii="Times New Roman" w:eastAsia="CMR12" w:hAnsi="Times New Roman" w:cs="Times New Roman"/>
              </w:rPr>
            </w:pPr>
          </w:p>
        </w:tc>
        <w:tc>
          <w:tcPr>
            <w:tcW w:w="1987" w:type="dxa"/>
            <w:tcBorders>
              <w:bottom w:val="single" w:sz="12" w:space="0" w:color="auto"/>
            </w:tcBorders>
            <w:noWrap/>
            <w:hideMark/>
          </w:tcPr>
          <w:p w14:paraId="41AA8E89"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w:t>
            </w:r>
          </w:p>
        </w:tc>
        <w:tc>
          <w:tcPr>
            <w:tcW w:w="1986" w:type="dxa"/>
            <w:tcBorders>
              <w:bottom w:val="single" w:sz="12" w:space="0" w:color="auto"/>
            </w:tcBorders>
            <w:noWrap/>
            <w:hideMark/>
          </w:tcPr>
          <w:p w14:paraId="472AFF7A"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(2)</w:t>
            </w:r>
          </w:p>
        </w:tc>
        <w:tc>
          <w:tcPr>
            <w:tcW w:w="1834" w:type="dxa"/>
            <w:tcBorders>
              <w:bottom w:val="single" w:sz="12" w:space="0" w:color="auto"/>
            </w:tcBorders>
            <w:noWrap/>
            <w:hideMark/>
          </w:tcPr>
          <w:p w14:paraId="5797BFC3"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w:t>
            </w:r>
          </w:p>
        </w:tc>
      </w:tr>
      <w:tr w:rsidR="008061A3" w:rsidRPr="008872DE" w14:paraId="0999DE56" w14:textId="77777777" w:rsidTr="008F7D7C">
        <w:trPr>
          <w:trHeight w:val="289"/>
        </w:trPr>
        <w:tc>
          <w:tcPr>
            <w:cnfStyle w:val="001000000000" w:firstRow="0" w:lastRow="0" w:firstColumn="1" w:lastColumn="0" w:oddVBand="0" w:evenVBand="0" w:oddHBand="0" w:evenHBand="0" w:firstRowFirstColumn="0" w:firstRowLastColumn="0" w:lastRowFirstColumn="0" w:lastRowLastColumn="0"/>
            <w:tcW w:w="1523" w:type="dxa"/>
            <w:tcBorders>
              <w:top w:val="single" w:sz="12" w:space="0" w:color="auto"/>
            </w:tcBorders>
            <w:noWrap/>
            <w:hideMark/>
          </w:tcPr>
          <w:p w14:paraId="0B56D6F1" w14:textId="77777777" w:rsidR="008061A3" w:rsidRPr="008872DE" w:rsidRDefault="008061A3" w:rsidP="008F7D7C">
            <w:pPr>
              <w:autoSpaceDE w:val="0"/>
              <w:autoSpaceDN w:val="0"/>
              <w:adjustRightInd w:val="0"/>
              <w:jc w:val="center"/>
              <w:rPr>
                <w:rFonts w:ascii="Times New Roman" w:eastAsia="CMR12" w:hAnsi="Times New Roman" w:cs="Times New Roman"/>
              </w:rPr>
            </w:pPr>
            <w:r w:rsidRPr="008872DE">
              <w:rPr>
                <w:rFonts w:ascii="Times New Roman" w:eastAsia="CMR12" w:hAnsi="Times New Roman" w:cs="Times New Roman"/>
              </w:rPr>
              <w:t>Quantile</w:t>
            </w:r>
          </w:p>
        </w:tc>
        <w:tc>
          <w:tcPr>
            <w:tcW w:w="1987" w:type="dxa"/>
            <w:tcBorders>
              <w:top w:val="single" w:sz="12" w:space="0" w:color="auto"/>
            </w:tcBorders>
            <w:noWrap/>
            <w:hideMark/>
          </w:tcPr>
          <w:p w14:paraId="1D808EE1"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0.3</w:t>
            </w:r>
          </w:p>
        </w:tc>
        <w:tc>
          <w:tcPr>
            <w:tcW w:w="1986" w:type="dxa"/>
            <w:tcBorders>
              <w:top w:val="single" w:sz="12" w:space="0" w:color="auto"/>
            </w:tcBorders>
            <w:noWrap/>
            <w:hideMark/>
          </w:tcPr>
          <w:p w14:paraId="67F61179"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0.6</w:t>
            </w:r>
          </w:p>
        </w:tc>
        <w:tc>
          <w:tcPr>
            <w:tcW w:w="1834" w:type="dxa"/>
            <w:tcBorders>
              <w:top w:val="single" w:sz="12" w:space="0" w:color="auto"/>
            </w:tcBorders>
            <w:noWrap/>
            <w:hideMark/>
          </w:tcPr>
          <w:p w14:paraId="66093096"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0.9</w:t>
            </w:r>
          </w:p>
        </w:tc>
      </w:tr>
      <w:tr w:rsidR="008061A3" w:rsidRPr="008872DE" w14:paraId="5647D461" w14:textId="77777777" w:rsidTr="008F7D7C">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523" w:type="dxa"/>
            <w:noWrap/>
            <w:hideMark/>
          </w:tcPr>
          <w:p w14:paraId="6EF335AC" w14:textId="77777777" w:rsidR="008061A3" w:rsidRPr="008872DE" w:rsidRDefault="008061A3" w:rsidP="008F7D7C">
            <w:pPr>
              <w:autoSpaceDE w:val="0"/>
              <w:autoSpaceDN w:val="0"/>
              <w:adjustRightInd w:val="0"/>
              <w:jc w:val="center"/>
              <w:rPr>
                <w:rFonts w:ascii="Times New Roman" w:eastAsia="CMR12" w:hAnsi="Times New Roman" w:cs="Times New Roman"/>
              </w:rPr>
            </w:pPr>
            <w:r w:rsidRPr="008872DE">
              <w:rPr>
                <w:rFonts w:ascii="Times New Roman" w:eastAsia="CMR12" w:hAnsi="Times New Roman" w:cs="Times New Roman"/>
              </w:rPr>
              <w:t>Treat x Post</w:t>
            </w:r>
          </w:p>
        </w:tc>
        <w:tc>
          <w:tcPr>
            <w:tcW w:w="1987" w:type="dxa"/>
            <w:noWrap/>
            <w:hideMark/>
          </w:tcPr>
          <w:p w14:paraId="035EFCAD"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0.150** (0.063)</w:t>
            </w:r>
          </w:p>
        </w:tc>
        <w:tc>
          <w:tcPr>
            <w:tcW w:w="1986" w:type="dxa"/>
            <w:noWrap/>
            <w:hideMark/>
          </w:tcPr>
          <w:p w14:paraId="6E102F9E"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0.196** (0.097)</w:t>
            </w:r>
          </w:p>
        </w:tc>
        <w:tc>
          <w:tcPr>
            <w:tcW w:w="1834" w:type="dxa"/>
            <w:noWrap/>
            <w:hideMark/>
          </w:tcPr>
          <w:p w14:paraId="7DFFB821"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0.097* (0.052)</w:t>
            </w:r>
          </w:p>
        </w:tc>
      </w:tr>
      <w:tr w:rsidR="008061A3" w:rsidRPr="008872DE" w14:paraId="519362E2" w14:textId="77777777" w:rsidTr="008F7D7C">
        <w:trPr>
          <w:trHeight w:val="289"/>
        </w:trPr>
        <w:tc>
          <w:tcPr>
            <w:cnfStyle w:val="001000000000" w:firstRow="0" w:lastRow="0" w:firstColumn="1" w:lastColumn="0" w:oddVBand="0" w:evenVBand="0" w:oddHBand="0" w:evenHBand="0" w:firstRowFirstColumn="0" w:firstRowLastColumn="0" w:lastRowFirstColumn="0" w:lastRowLastColumn="0"/>
            <w:tcW w:w="1523" w:type="dxa"/>
            <w:noWrap/>
            <w:hideMark/>
          </w:tcPr>
          <w:p w14:paraId="1CAB79F6" w14:textId="77777777" w:rsidR="008061A3" w:rsidRPr="008872DE" w:rsidRDefault="008061A3" w:rsidP="008F7D7C">
            <w:pPr>
              <w:autoSpaceDE w:val="0"/>
              <w:autoSpaceDN w:val="0"/>
              <w:adjustRightInd w:val="0"/>
              <w:jc w:val="center"/>
              <w:rPr>
                <w:rFonts w:ascii="Times New Roman" w:eastAsia="CMR12" w:hAnsi="Times New Roman" w:cs="Times New Roman"/>
              </w:rPr>
            </w:pPr>
            <w:r w:rsidRPr="008872DE">
              <w:rPr>
                <w:rFonts w:ascii="Times New Roman" w:eastAsia="CMR12" w:hAnsi="Times New Roman" w:cs="Times New Roman"/>
              </w:rPr>
              <w:t>Control</w:t>
            </w:r>
          </w:p>
        </w:tc>
        <w:tc>
          <w:tcPr>
            <w:tcW w:w="1987" w:type="dxa"/>
            <w:noWrap/>
            <w:hideMark/>
          </w:tcPr>
          <w:p w14:paraId="79729B58"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986" w:type="dxa"/>
            <w:noWrap/>
            <w:hideMark/>
          </w:tcPr>
          <w:p w14:paraId="3CBE7C06"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834" w:type="dxa"/>
            <w:noWrap/>
            <w:hideMark/>
          </w:tcPr>
          <w:p w14:paraId="72A8D229"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r>
      <w:tr w:rsidR="008061A3" w:rsidRPr="008872DE" w14:paraId="6B519166" w14:textId="77777777" w:rsidTr="008F7D7C">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523" w:type="dxa"/>
            <w:noWrap/>
            <w:hideMark/>
          </w:tcPr>
          <w:p w14:paraId="1E4558D6" w14:textId="77777777" w:rsidR="008061A3" w:rsidRPr="008872DE" w:rsidRDefault="008061A3" w:rsidP="008F7D7C">
            <w:pPr>
              <w:autoSpaceDE w:val="0"/>
              <w:autoSpaceDN w:val="0"/>
              <w:adjustRightInd w:val="0"/>
              <w:jc w:val="center"/>
              <w:rPr>
                <w:rFonts w:ascii="Times New Roman" w:eastAsia="CMR12" w:hAnsi="Times New Roman" w:cs="Times New Roman"/>
              </w:rPr>
            </w:pPr>
            <w:r w:rsidRPr="008872DE">
              <w:rPr>
                <w:rFonts w:ascii="Times New Roman" w:eastAsia="CMR12" w:hAnsi="Times New Roman" w:cs="Times New Roman"/>
              </w:rPr>
              <w:t>Province FE</w:t>
            </w:r>
          </w:p>
        </w:tc>
        <w:tc>
          <w:tcPr>
            <w:tcW w:w="1987" w:type="dxa"/>
            <w:noWrap/>
            <w:hideMark/>
          </w:tcPr>
          <w:p w14:paraId="656DD053"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986" w:type="dxa"/>
            <w:noWrap/>
            <w:hideMark/>
          </w:tcPr>
          <w:p w14:paraId="40DDDE0A"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834" w:type="dxa"/>
            <w:noWrap/>
            <w:hideMark/>
          </w:tcPr>
          <w:p w14:paraId="1A9BEFF7"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r>
      <w:tr w:rsidR="008061A3" w:rsidRPr="008872DE" w14:paraId="2B4F8B7F" w14:textId="77777777" w:rsidTr="008F7D7C">
        <w:trPr>
          <w:trHeight w:val="289"/>
        </w:trPr>
        <w:tc>
          <w:tcPr>
            <w:cnfStyle w:val="001000000000" w:firstRow="0" w:lastRow="0" w:firstColumn="1" w:lastColumn="0" w:oddVBand="0" w:evenVBand="0" w:oddHBand="0" w:evenHBand="0" w:firstRowFirstColumn="0" w:firstRowLastColumn="0" w:lastRowFirstColumn="0" w:lastRowLastColumn="0"/>
            <w:tcW w:w="1523" w:type="dxa"/>
            <w:noWrap/>
            <w:hideMark/>
          </w:tcPr>
          <w:p w14:paraId="3343D883" w14:textId="77777777" w:rsidR="008061A3" w:rsidRPr="008872DE" w:rsidRDefault="008061A3" w:rsidP="008F7D7C">
            <w:pPr>
              <w:autoSpaceDE w:val="0"/>
              <w:autoSpaceDN w:val="0"/>
              <w:adjustRightInd w:val="0"/>
              <w:jc w:val="center"/>
              <w:rPr>
                <w:rFonts w:ascii="Times New Roman" w:eastAsia="CMR12" w:hAnsi="Times New Roman" w:cs="Times New Roman"/>
              </w:rPr>
            </w:pPr>
            <w:r w:rsidRPr="008872DE">
              <w:rPr>
                <w:rFonts w:ascii="Times New Roman" w:eastAsia="CMR12" w:hAnsi="Times New Roman" w:cs="Times New Roman"/>
              </w:rPr>
              <w:t>Year FE</w:t>
            </w:r>
          </w:p>
        </w:tc>
        <w:tc>
          <w:tcPr>
            <w:tcW w:w="1987" w:type="dxa"/>
            <w:noWrap/>
            <w:hideMark/>
          </w:tcPr>
          <w:p w14:paraId="4CD5E724"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986" w:type="dxa"/>
            <w:noWrap/>
            <w:hideMark/>
          </w:tcPr>
          <w:p w14:paraId="451129D8"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834" w:type="dxa"/>
            <w:noWrap/>
            <w:hideMark/>
          </w:tcPr>
          <w:p w14:paraId="3E7F0E2C"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r>
      <w:tr w:rsidR="008061A3" w:rsidRPr="008872DE" w14:paraId="1DB875C3" w14:textId="77777777" w:rsidTr="008F7D7C">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1523" w:type="dxa"/>
            <w:noWrap/>
            <w:hideMark/>
          </w:tcPr>
          <w:p w14:paraId="25A754FD" w14:textId="77777777" w:rsidR="008061A3" w:rsidRPr="008872DE" w:rsidRDefault="008061A3" w:rsidP="008F7D7C">
            <w:pPr>
              <w:autoSpaceDE w:val="0"/>
              <w:autoSpaceDN w:val="0"/>
              <w:adjustRightInd w:val="0"/>
              <w:jc w:val="center"/>
              <w:rPr>
                <w:rFonts w:ascii="Times New Roman" w:eastAsia="CMR12" w:hAnsi="Times New Roman" w:cs="Times New Roman"/>
              </w:rPr>
            </w:pPr>
            <w:r w:rsidRPr="008872DE">
              <w:rPr>
                <w:rFonts w:ascii="Times New Roman" w:eastAsia="CMR12" w:hAnsi="Times New Roman" w:cs="Times New Roman"/>
              </w:rPr>
              <w:t>N</w:t>
            </w:r>
          </w:p>
        </w:tc>
        <w:tc>
          <w:tcPr>
            <w:tcW w:w="1987" w:type="dxa"/>
            <w:noWrap/>
            <w:hideMark/>
          </w:tcPr>
          <w:p w14:paraId="1F743D30"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360</w:t>
            </w:r>
          </w:p>
        </w:tc>
        <w:tc>
          <w:tcPr>
            <w:tcW w:w="1986" w:type="dxa"/>
            <w:noWrap/>
            <w:hideMark/>
          </w:tcPr>
          <w:p w14:paraId="495C14A8"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360</w:t>
            </w:r>
          </w:p>
        </w:tc>
        <w:tc>
          <w:tcPr>
            <w:tcW w:w="1834" w:type="dxa"/>
            <w:noWrap/>
            <w:hideMark/>
          </w:tcPr>
          <w:p w14:paraId="6C91500A"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360</w:t>
            </w:r>
          </w:p>
        </w:tc>
      </w:tr>
      <w:tr w:rsidR="008061A3" w:rsidRPr="008872DE" w14:paraId="1FEC2A0D" w14:textId="77777777" w:rsidTr="008F7D7C">
        <w:trPr>
          <w:trHeight w:val="289"/>
        </w:trPr>
        <w:tc>
          <w:tcPr>
            <w:cnfStyle w:val="001000000000" w:firstRow="0" w:lastRow="0" w:firstColumn="1" w:lastColumn="0" w:oddVBand="0" w:evenVBand="0" w:oddHBand="0" w:evenHBand="0" w:firstRowFirstColumn="0" w:firstRowLastColumn="0" w:lastRowFirstColumn="0" w:lastRowLastColumn="0"/>
            <w:tcW w:w="1523" w:type="dxa"/>
            <w:noWrap/>
            <w:hideMark/>
          </w:tcPr>
          <w:p w14:paraId="488A837F" w14:textId="77777777" w:rsidR="008061A3" w:rsidRPr="008872DE" w:rsidRDefault="008061A3" w:rsidP="008F7D7C">
            <w:pPr>
              <w:autoSpaceDE w:val="0"/>
              <w:autoSpaceDN w:val="0"/>
              <w:adjustRightInd w:val="0"/>
              <w:jc w:val="center"/>
              <w:rPr>
                <w:rFonts w:ascii="Times New Roman" w:eastAsia="CMR12" w:hAnsi="Times New Roman" w:cs="Times New Roman"/>
              </w:rPr>
            </w:pPr>
            <w:r w:rsidRPr="008872DE">
              <w:rPr>
                <w:rFonts w:ascii="Times New Roman" w:eastAsia="CMR12" w:hAnsi="Times New Roman" w:cs="Times New Roman"/>
              </w:rPr>
              <w:t>R-squared</w:t>
            </w:r>
          </w:p>
        </w:tc>
        <w:tc>
          <w:tcPr>
            <w:tcW w:w="1987" w:type="dxa"/>
            <w:noWrap/>
            <w:hideMark/>
          </w:tcPr>
          <w:p w14:paraId="04E367D2"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0.485</w:t>
            </w:r>
          </w:p>
        </w:tc>
        <w:tc>
          <w:tcPr>
            <w:tcW w:w="1986" w:type="dxa"/>
            <w:noWrap/>
            <w:hideMark/>
          </w:tcPr>
          <w:p w14:paraId="23129E1C"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0.504</w:t>
            </w:r>
          </w:p>
        </w:tc>
        <w:tc>
          <w:tcPr>
            <w:tcW w:w="1834" w:type="dxa"/>
            <w:noWrap/>
            <w:hideMark/>
          </w:tcPr>
          <w:p w14:paraId="1C486234"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0.208</w:t>
            </w:r>
          </w:p>
        </w:tc>
      </w:tr>
    </w:tbl>
    <w:p w14:paraId="4216014D" w14:textId="77777777" w:rsidR="008061A3" w:rsidRDefault="008061A3" w:rsidP="008061A3">
      <w:pPr>
        <w:autoSpaceDE w:val="0"/>
        <w:autoSpaceDN w:val="0"/>
        <w:adjustRightInd w:val="0"/>
        <w:rPr>
          <w:rFonts w:eastAsia="CMR12"/>
          <w:sz w:val="20"/>
          <w:szCs w:val="20"/>
        </w:rPr>
      </w:pPr>
      <w:r w:rsidRPr="0031513B">
        <w:rPr>
          <w:rFonts w:eastAsia="CMR12"/>
          <w:sz w:val="20"/>
          <w:szCs w:val="20"/>
        </w:rPr>
        <w:t>Standard errors are in parentheses, ** and * indicate the significance at the 5% and 10% levels, respectively. FE and N are the abbreviations for Fixed effects and number of observations, respectively.</w:t>
      </w:r>
    </w:p>
    <w:p w14:paraId="7315AA9B" w14:textId="77777777" w:rsidR="007828C5" w:rsidRPr="0031513B" w:rsidRDefault="007828C5" w:rsidP="008061A3">
      <w:pPr>
        <w:autoSpaceDE w:val="0"/>
        <w:autoSpaceDN w:val="0"/>
        <w:adjustRightInd w:val="0"/>
        <w:rPr>
          <w:rFonts w:eastAsia="CMR12"/>
          <w:sz w:val="20"/>
          <w:szCs w:val="20"/>
        </w:rPr>
      </w:pPr>
    </w:p>
    <w:p w14:paraId="70A71549" w14:textId="77777777" w:rsidR="008061A3" w:rsidRPr="00834276" w:rsidRDefault="008061A3" w:rsidP="008061A3">
      <w:pPr>
        <w:pStyle w:val="Heading2"/>
      </w:pPr>
      <w:r w:rsidRPr="007F6C04">
        <w:t xml:space="preserve">4.5 Mechanism effect analysis </w:t>
      </w:r>
    </w:p>
    <w:p w14:paraId="23237B52" w14:textId="01D46639" w:rsidR="00E46CC7" w:rsidRPr="00E46CC7" w:rsidRDefault="008061A3" w:rsidP="008430EF">
      <w:pPr>
        <w:pStyle w:val="TableofFigures"/>
        <w:tabs>
          <w:tab w:val="right" w:leader="dot" w:pos="9350"/>
        </w:tabs>
        <w:spacing w:before="240"/>
        <w:jc w:val="both"/>
        <w:rPr>
          <w:rFonts w:eastAsia="CMR12"/>
        </w:rPr>
      </w:pPr>
      <w:r w:rsidRPr="007F6C04">
        <w:rPr>
          <w:rFonts w:eastAsia="CMR12"/>
        </w:rPr>
        <w:t xml:space="preserve">    </w:t>
      </w:r>
      <w:bookmarkStart w:id="61" w:name="_Toc202190495"/>
      <w:r w:rsidRPr="00046F57">
        <w:rPr>
          <w:rFonts w:eastAsia="CMR12"/>
        </w:rPr>
        <w:t xml:space="preserve">The mechanism impact of the CETS pilot policy on TFPGE is examined using the mechanism model constructed above, with ERC and CCTI serving as mediating variables and Str serving as moderating variables. The test results are displayed in </w:t>
      </w:r>
      <w:hyperlink w:anchor="_Toc202190496" w:history="1">
        <w:r w:rsidR="00E46CC7" w:rsidRPr="00E46CC7">
          <w:rPr>
            <w:rStyle w:val="Hyperlink"/>
            <w:b/>
            <w:bCs/>
            <w:noProof/>
            <w:u w:val="none"/>
          </w:rPr>
          <w:t xml:space="preserve">Table </w:t>
        </w:r>
        <w:r w:rsidR="00F25894">
          <w:rPr>
            <w:rStyle w:val="Hyperlink"/>
            <w:b/>
            <w:bCs/>
            <w:noProof/>
            <w:u w:val="none"/>
          </w:rPr>
          <w:t>6</w:t>
        </w:r>
        <w:r w:rsidR="00E46CC7" w:rsidRPr="00E46CC7">
          <w:rPr>
            <w:rStyle w:val="Hyperlink"/>
            <w:noProof/>
            <w:u w:val="none"/>
          </w:rPr>
          <w:t xml:space="preserve"> </w:t>
        </w:r>
      </w:hyperlink>
      <w:r w:rsidRPr="00046F57">
        <w:rPr>
          <w:rFonts w:eastAsia="CMR12"/>
        </w:rPr>
        <w:t>Columns (1)-(2) and (3)-(4) of Table 7 test the mediating effects of ERC and CCTI between CETS pilot policy and TFPGE, respectively, and column (5) tests the moderating effect played by Str.</w:t>
      </w:r>
      <w:bookmarkEnd w:id="61"/>
      <w:r w:rsidRPr="00046F57">
        <w:rPr>
          <w:rFonts w:eastAsia="CMR12"/>
        </w:rPr>
        <w:t xml:space="preserve"> </w:t>
      </w:r>
    </w:p>
    <w:p w14:paraId="78FD3A05" w14:textId="77777777" w:rsidR="008061A3" w:rsidRPr="00046F57" w:rsidRDefault="008061A3" w:rsidP="008430EF">
      <w:pPr>
        <w:autoSpaceDE w:val="0"/>
        <w:autoSpaceDN w:val="0"/>
        <w:adjustRightInd w:val="0"/>
        <w:spacing w:before="240"/>
        <w:jc w:val="both"/>
        <w:rPr>
          <w:rFonts w:eastAsia="CMR12"/>
          <w14:ligatures w14:val="standardContextual"/>
        </w:rPr>
      </w:pPr>
      <w:r w:rsidRPr="00046F57">
        <w:rPr>
          <w:rFonts w:eastAsia="CMR12"/>
          <w14:ligatures w14:val="standardContextual"/>
        </w:rPr>
        <w:t>(1)  Level of Environmental resource commitment at the local government level</w:t>
      </w:r>
    </w:p>
    <w:p w14:paraId="318D0303" w14:textId="7EE5605A" w:rsidR="008061A3" w:rsidRPr="008430EF" w:rsidRDefault="008061A3" w:rsidP="008430EF">
      <w:pPr>
        <w:pStyle w:val="Paragraph"/>
        <w:jc w:val="both"/>
        <w:rPr>
          <w:shd w:val="clear" w:color="auto" w:fill="FFFFFF"/>
        </w:rPr>
      </w:pPr>
      <w:r w:rsidRPr="00046F57">
        <w:rPr>
          <w:rFonts w:eastAsia="CMR12"/>
          <w14:ligatures w14:val="standardContextual"/>
        </w:rPr>
        <w:t xml:space="preserve">         </w:t>
      </w:r>
      <w:r w:rsidRPr="00046F57">
        <w:rPr>
          <w:shd w:val="clear" w:color="auto" w:fill="FFFFFF"/>
        </w:rPr>
        <w:t xml:space="preserve">In column (1), the Treat x Post coefficient on ERC is 0.0471 (5% significance), showing the CETS pilot policy increases ERC in pilot provinces. In column (2), with ERC as a mediator, its coefficient is 0.0599 (0.1% significance), and Treat x Period’s direct effect on TFPGE is 0.0290 </w:t>
      </w:r>
      <w:r w:rsidRPr="00046F57">
        <w:rPr>
          <w:shd w:val="clear" w:color="auto" w:fill="FFFFFF"/>
        </w:rPr>
        <w:lastRenderedPageBreak/>
        <w:t xml:space="preserve">(5% significance), indicating partial mediation. The CETS enhances ERC by improving regulations, supervision, resource allocation, and market environment, which in turn boosts TFPGE, verifying hypothesis 2. Higher ERC further strengthens CETS’s impact on TFPGE in the coal-fired power industry. </w:t>
      </w:r>
    </w:p>
    <w:p w14:paraId="09B94FC7" w14:textId="77777777" w:rsidR="008061A3" w:rsidRPr="00046F57" w:rsidRDefault="008061A3" w:rsidP="008430EF">
      <w:pPr>
        <w:autoSpaceDE w:val="0"/>
        <w:autoSpaceDN w:val="0"/>
        <w:adjustRightInd w:val="0"/>
        <w:spacing w:before="240"/>
        <w:jc w:val="both"/>
        <w:rPr>
          <w:rFonts w:eastAsia="CMR12"/>
          <w14:ligatures w14:val="standardContextual"/>
        </w:rPr>
      </w:pPr>
      <w:r w:rsidRPr="00046F57">
        <w:rPr>
          <w:rFonts w:eastAsia="CMR12"/>
          <w14:ligatures w14:val="standardContextual"/>
        </w:rPr>
        <w:t>(2)  Clean combustion technology innovation.</w:t>
      </w:r>
    </w:p>
    <w:p w14:paraId="2BBF7427" w14:textId="51B7452B" w:rsidR="008061A3" w:rsidRPr="00046F57" w:rsidRDefault="008061A3" w:rsidP="008430EF">
      <w:pPr>
        <w:pStyle w:val="Paragraph"/>
        <w:jc w:val="both"/>
        <w:rPr>
          <w:rFonts w:eastAsia="CMR12"/>
          <w14:ligatures w14:val="standardContextual"/>
        </w:rPr>
      </w:pPr>
      <w:r w:rsidRPr="00046F57">
        <w:rPr>
          <w:rFonts w:eastAsia="CMR12"/>
          <w14:ligatures w14:val="standardContextual"/>
        </w:rPr>
        <w:t xml:space="preserve">          </w:t>
      </w:r>
      <w:r w:rsidRPr="00046F57">
        <w:rPr>
          <w:shd w:val="clear" w:color="auto" w:fill="FFFFFF"/>
        </w:rPr>
        <w:t>In column (3), the Treat x Post coefficient on CCTI is 0.0766 (5% significance), indicating the CETS pilot policy fosters clean combustion technology innovation in pilot provinces. In column (4), with CCTI as a mediator, its coefficient on TFPGE is 0.0428 (0.1% significance), and Treat x Post’s direct effect is 0.0293 (1% significance), showing partial mediation. The policy drives technological innovation, enhancing TFPGE, confirming hypothesis 3.</w:t>
      </w:r>
    </w:p>
    <w:p w14:paraId="6AD7D8B4" w14:textId="77777777" w:rsidR="008061A3" w:rsidRPr="00046F57" w:rsidRDefault="008061A3" w:rsidP="008430EF">
      <w:pPr>
        <w:autoSpaceDE w:val="0"/>
        <w:autoSpaceDN w:val="0"/>
        <w:adjustRightInd w:val="0"/>
        <w:spacing w:before="240"/>
        <w:jc w:val="both"/>
        <w:rPr>
          <w:rFonts w:eastAsia="CMR12"/>
          <w14:ligatures w14:val="standardContextual"/>
        </w:rPr>
      </w:pPr>
      <w:r w:rsidRPr="00046F57">
        <w:rPr>
          <w:rFonts w:eastAsia="CMR12"/>
          <w14:ligatures w14:val="standardContextual"/>
        </w:rPr>
        <w:t>(3)  Energy structure upgrading (Str)</w:t>
      </w:r>
    </w:p>
    <w:p w14:paraId="7DFD00C0" w14:textId="57418BD7" w:rsidR="008061A3" w:rsidRDefault="008061A3" w:rsidP="008430EF">
      <w:pPr>
        <w:pStyle w:val="Paragraph"/>
        <w:jc w:val="both"/>
        <w:rPr>
          <w:shd w:val="clear" w:color="auto" w:fill="FFFFFF"/>
        </w:rPr>
      </w:pPr>
      <w:r w:rsidRPr="00046F57">
        <w:rPr>
          <w:rFonts w:eastAsia="CMR12"/>
          <w14:ligatures w14:val="standardContextual"/>
        </w:rPr>
        <w:t xml:space="preserve">          </w:t>
      </w:r>
      <w:r w:rsidRPr="00046F57">
        <w:rPr>
          <w:shd w:val="clear" w:color="auto" w:fill="FFFFFF"/>
        </w:rPr>
        <w:t>In Column (5), the Treat x Post x Str interaction term coefficient is 0.0259 (1% significance), with Treat x Post at 0.0536 (1% significance) and Str at 0.0569 (5% significant). This indicates Energy structure upgrading moderates the CETS policy’s effect on TFPGE, confirming hypothesis 4. The policy’s impact on TFPGE is stronger in provinces with a higher renewable energy share, highlighting the role of the energy mix.</w:t>
      </w:r>
    </w:p>
    <w:p w14:paraId="32D26125" w14:textId="77777777" w:rsidR="00F25894" w:rsidRDefault="00F25894" w:rsidP="00F25894">
      <w:pPr>
        <w:pStyle w:val="Newparagraph"/>
      </w:pPr>
    </w:p>
    <w:p w14:paraId="40003ED3" w14:textId="77777777" w:rsidR="00F25894" w:rsidRDefault="00F25894" w:rsidP="00F25894">
      <w:pPr>
        <w:pStyle w:val="Newparagraph"/>
      </w:pPr>
    </w:p>
    <w:p w14:paraId="6FD07063" w14:textId="77777777" w:rsidR="00F25894" w:rsidRDefault="00F25894" w:rsidP="00F25894">
      <w:pPr>
        <w:pStyle w:val="Newparagraph"/>
      </w:pPr>
    </w:p>
    <w:p w14:paraId="78AB7116" w14:textId="77777777" w:rsidR="00F25894" w:rsidRDefault="00F25894" w:rsidP="00F25894">
      <w:pPr>
        <w:pStyle w:val="Newparagraph"/>
      </w:pPr>
    </w:p>
    <w:p w14:paraId="2853BBE5" w14:textId="77777777" w:rsidR="00F25894" w:rsidRPr="00F25894" w:rsidRDefault="00F25894" w:rsidP="00F25894">
      <w:pPr>
        <w:pStyle w:val="Newparagraph"/>
      </w:pPr>
    </w:p>
    <w:p w14:paraId="6E12D144" w14:textId="6F7696C0" w:rsidR="008061A3" w:rsidRPr="008872DE" w:rsidRDefault="008061A3" w:rsidP="008061A3">
      <w:pPr>
        <w:pStyle w:val="Tabletitle"/>
      </w:pPr>
      <w:bookmarkStart w:id="62" w:name="_Toc197416832"/>
      <w:bookmarkStart w:id="63" w:name="_Toc202190496"/>
      <w:r w:rsidRPr="008872DE">
        <w:rPr>
          <w:b/>
          <w:bCs/>
        </w:rPr>
        <w:lastRenderedPageBreak/>
        <w:t xml:space="preserve">Table </w:t>
      </w:r>
      <w:r w:rsidR="00F25894">
        <w:rPr>
          <w:b/>
          <w:bCs/>
        </w:rPr>
        <w:t>6</w:t>
      </w:r>
      <w:r w:rsidRPr="008872DE">
        <w:rPr>
          <w:b/>
          <w:bCs/>
        </w:rPr>
        <w:t>.</w:t>
      </w:r>
      <w:r w:rsidRPr="008872DE">
        <w:t xml:space="preserve"> </w:t>
      </w:r>
      <w:r w:rsidRPr="008872DE">
        <w:rPr>
          <w:rFonts w:eastAsia="CMR12"/>
        </w:rPr>
        <w:t>Results of the impact mechanism test</w:t>
      </w:r>
      <w:bookmarkEnd w:id="62"/>
      <w:bookmarkEnd w:id="63"/>
    </w:p>
    <w:tbl>
      <w:tblPr>
        <w:tblStyle w:val="PlainTable2"/>
        <w:tblW w:w="9011" w:type="dxa"/>
        <w:tblLook w:val="04A0" w:firstRow="1" w:lastRow="0" w:firstColumn="1" w:lastColumn="0" w:noHBand="0" w:noVBand="1"/>
      </w:tblPr>
      <w:tblGrid>
        <w:gridCol w:w="2375"/>
        <w:gridCol w:w="1109"/>
        <w:gridCol w:w="1276"/>
        <w:gridCol w:w="1484"/>
        <w:gridCol w:w="1348"/>
        <w:gridCol w:w="1474"/>
      </w:tblGrid>
      <w:tr w:rsidR="008061A3" w:rsidRPr="008872DE" w14:paraId="018B29EB" w14:textId="77777777" w:rsidTr="008F7D7C">
        <w:trPr>
          <w:cnfStyle w:val="100000000000" w:firstRow="1" w:lastRow="0" w:firstColumn="0" w:lastColumn="0" w:oddVBand="0" w:evenVBand="0" w:oddHBand="0"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375" w:type="dxa"/>
            <w:vMerge w:val="restart"/>
            <w:noWrap/>
            <w:hideMark/>
          </w:tcPr>
          <w:p w14:paraId="62F2FFEF"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bookmarkStart w:id="64" w:name="_Hlk200662146"/>
            <w:r w:rsidRPr="008872DE">
              <w:rPr>
                <w:rFonts w:ascii="Times New Roman" w:eastAsia="CMR12" w:hAnsi="Times New Roman" w:cs="Times New Roman"/>
                <w:b w:val="0"/>
                <w:bCs w:val="0"/>
              </w:rPr>
              <w:t>Variables</w:t>
            </w:r>
          </w:p>
        </w:tc>
        <w:tc>
          <w:tcPr>
            <w:tcW w:w="5162" w:type="dxa"/>
            <w:gridSpan w:val="4"/>
            <w:noWrap/>
            <w:hideMark/>
          </w:tcPr>
          <w:p w14:paraId="1F5152C3" w14:textId="77777777" w:rsidR="008061A3" w:rsidRPr="008872DE" w:rsidRDefault="008061A3" w:rsidP="008F7D7C">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b w:val="0"/>
                <w:bCs w:val="0"/>
              </w:rPr>
            </w:pPr>
            <w:r w:rsidRPr="008872DE">
              <w:rPr>
                <w:rFonts w:ascii="Times New Roman" w:eastAsia="CMR12" w:hAnsi="Times New Roman" w:cs="Times New Roman"/>
                <w:b w:val="0"/>
                <w:bCs w:val="0"/>
              </w:rPr>
              <w:t>Mediating effect</w:t>
            </w:r>
          </w:p>
        </w:tc>
        <w:tc>
          <w:tcPr>
            <w:tcW w:w="1474" w:type="dxa"/>
            <w:noWrap/>
            <w:hideMark/>
          </w:tcPr>
          <w:p w14:paraId="0DE0BBA4" w14:textId="77777777" w:rsidR="008061A3" w:rsidRPr="008872DE" w:rsidRDefault="008061A3" w:rsidP="008F7D7C">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b w:val="0"/>
                <w:bCs w:val="0"/>
              </w:rPr>
            </w:pPr>
            <w:r w:rsidRPr="008872DE">
              <w:rPr>
                <w:rFonts w:ascii="Times New Roman" w:eastAsia="CMR12" w:hAnsi="Times New Roman" w:cs="Times New Roman"/>
                <w:b w:val="0"/>
                <w:bCs w:val="0"/>
              </w:rPr>
              <w:t>Moderating effect</w:t>
            </w:r>
          </w:p>
        </w:tc>
      </w:tr>
      <w:tr w:rsidR="008061A3" w:rsidRPr="008872DE" w14:paraId="2B3F3878" w14:textId="77777777" w:rsidTr="008F7D7C">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375" w:type="dxa"/>
            <w:vMerge/>
            <w:hideMark/>
          </w:tcPr>
          <w:p w14:paraId="52D3DDB5"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p>
        </w:tc>
        <w:tc>
          <w:tcPr>
            <w:tcW w:w="1109" w:type="dxa"/>
            <w:noWrap/>
            <w:hideMark/>
          </w:tcPr>
          <w:p w14:paraId="24ED5195"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ERC</w:t>
            </w:r>
          </w:p>
        </w:tc>
        <w:tc>
          <w:tcPr>
            <w:tcW w:w="1221" w:type="dxa"/>
            <w:noWrap/>
            <w:hideMark/>
          </w:tcPr>
          <w:p w14:paraId="3F5F847D"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TFPGE</w:t>
            </w:r>
          </w:p>
        </w:tc>
        <w:tc>
          <w:tcPr>
            <w:tcW w:w="1484" w:type="dxa"/>
            <w:noWrap/>
            <w:hideMark/>
          </w:tcPr>
          <w:p w14:paraId="4E6A9490"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Log (CCTI)</w:t>
            </w:r>
          </w:p>
        </w:tc>
        <w:tc>
          <w:tcPr>
            <w:tcW w:w="1348" w:type="dxa"/>
            <w:noWrap/>
            <w:hideMark/>
          </w:tcPr>
          <w:p w14:paraId="69D23A64"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TFPGE</w:t>
            </w:r>
          </w:p>
        </w:tc>
        <w:tc>
          <w:tcPr>
            <w:tcW w:w="1474" w:type="dxa"/>
            <w:noWrap/>
            <w:hideMark/>
          </w:tcPr>
          <w:p w14:paraId="4117059D"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TFPGE</w:t>
            </w:r>
          </w:p>
        </w:tc>
      </w:tr>
      <w:tr w:rsidR="008061A3" w:rsidRPr="008872DE" w14:paraId="03E6D618" w14:textId="77777777" w:rsidTr="008F7D7C">
        <w:trPr>
          <w:trHeight w:val="274"/>
        </w:trPr>
        <w:tc>
          <w:tcPr>
            <w:cnfStyle w:val="001000000000" w:firstRow="0" w:lastRow="0" w:firstColumn="1" w:lastColumn="0" w:oddVBand="0" w:evenVBand="0" w:oddHBand="0" w:evenHBand="0" w:firstRowFirstColumn="0" w:firstRowLastColumn="0" w:lastRowFirstColumn="0" w:lastRowLastColumn="0"/>
            <w:tcW w:w="2375" w:type="dxa"/>
            <w:vMerge/>
            <w:tcBorders>
              <w:bottom w:val="single" w:sz="12" w:space="0" w:color="auto"/>
            </w:tcBorders>
            <w:hideMark/>
          </w:tcPr>
          <w:p w14:paraId="336624AB"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p>
        </w:tc>
        <w:tc>
          <w:tcPr>
            <w:tcW w:w="1109" w:type="dxa"/>
            <w:tcBorders>
              <w:bottom w:val="single" w:sz="12" w:space="0" w:color="auto"/>
            </w:tcBorders>
            <w:noWrap/>
            <w:hideMark/>
          </w:tcPr>
          <w:p w14:paraId="70997C20"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w:t>
            </w:r>
          </w:p>
        </w:tc>
        <w:tc>
          <w:tcPr>
            <w:tcW w:w="1221" w:type="dxa"/>
            <w:tcBorders>
              <w:bottom w:val="single" w:sz="12" w:space="0" w:color="auto"/>
            </w:tcBorders>
            <w:noWrap/>
            <w:hideMark/>
          </w:tcPr>
          <w:p w14:paraId="4B3BC6D1"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(2)</w:t>
            </w:r>
          </w:p>
        </w:tc>
        <w:tc>
          <w:tcPr>
            <w:tcW w:w="1484" w:type="dxa"/>
            <w:tcBorders>
              <w:bottom w:val="single" w:sz="12" w:space="0" w:color="auto"/>
            </w:tcBorders>
            <w:noWrap/>
            <w:hideMark/>
          </w:tcPr>
          <w:p w14:paraId="4F472F0B"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w:t>
            </w:r>
          </w:p>
        </w:tc>
        <w:tc>
          <w:tcPr>
            <w:tcW w:w="1348" w:type="dxa"/>
            <w:tcBorders>
              <w:bottom w:val="single" w:sz="12" w:space="0" w:color="auto"/>
            </w:tcBorders>
            <w:noWrap/>
            <w:hideMark/>
          </w:tcPr>
          <w:p w14:paraId="78E4A125"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(4)</w:t>
            </w:r>
          </w:p>
        </w:tc>
        <w:tc>
          <w:tcPr>
            <w:tcW w:w="1474" w:type="dxa"/>
            <w:tcBorders>
              <w:bottom w:val="single" w:sz="12" w:space="0" w:color="auto"/>
            </w:tcBorders>
            <w:noWrap/>
            <w:hideMark/>
          </w:tcPr>
          <w:p w14:paraId="7606F4B6"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(5)</w:t>
            </w:r>
          </w:p>
        </w:tc>
      </w:tr>
      <w:tr w:rsidR="008061A3" w:rsidRPr="008872DE" w14:paraId="6FCC5B26" w14:textId="77777777" w:rsidTr="008F7D7C">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375" w:type="dxa"/>
            <w:tcBorders>
              <w:top w:val="single" w:sz="12" w:space="0" w:color="auto"/>
            </w:tcBorders>
            <w:noWrap/>
            <w:hideMark/>
          </w:tcPr>
          <w:p w14:paraId="49B00074"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Treat × Post × Str</w:t>
            </w:r>
          </w:p>
        </w:tc>
        <w:tc>
          <w:tcPr>
            <w:tcW w:w="1109" w:type="dxa"/>
            <w:tcBorders>
              <w:top w:val="single" w:sz="12" w:space="0" w:color="auto"/>
            </w:tcBorders>
            <w:noWrap/>
            <w:hideMark/>
          </w:tcPr>
          <w:p w14:paraId="000E42A7"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p>
        </w:tc>
        <w:tc>
          <w:tcPr>
            <w:tcW w:w="1221" w:type="dxa"/>
            <w:tcBorders>
              <w:top w:val="single" w:sz="12" w:space="0" w:color="auto"/>
            </w:tcBorders>
            <w:noWrap/>
            <w:hideMark/>
          </w:tcPr>
          <w:p w14:paraId="3E1FB259"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p>
        </w:tc>
        <w:tc>
          <w:tcPr>
            <w:tcW w:w="1484" w:type="dxa"/>
            <w:tcBorders>
              <w:top w:val="single" w:sz="12" w:space="0" w:color="auto"/>
            </w:tcBorders>
            <w:noWrap/>
            <w:hideMark/>
          </w:tcPr>
          <w:p w14:paraId="6109C437"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p>
        </w:tc>
        <w:tc>
          <w:tcPr>
            <w:tcW w:w="1348" w:type="dxa"/>
            <w:tcBorders>
              <w:top w:val="single" w:sz="12" w:space="0" w:color="auto"/>
            </w:tcBorders>
            <w:noWrap/>
            <w:hideMark/>
          </w:tcPr>
          <w:p w14:paraId="4EB96F2F"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p>
        </w:tc>
        <w:tc>
          <w:tcPr>
            <w:tcW w:w="1474" w:type="dxa"/>
            <w:tcBorders>
              <w:top w:val="single" w:sz="12" w:space="0" w:color="auto"/>
            </w:tcBorders>
            <w:noWrap/>
            <w:hideMark/>
          </w:tcPr>
          <w:p w14:paraId="3AEB4BEB"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0.0259** (0.0749)</w:t>
            </w:r>
          </w:p>
        </w:tc>
      </w:tr>
      <w:tr w:rsidR="008061A3" w:rsidRPr="008872DE" w14:paraId="22640AB0" w14:textId="77777777" w:rsidTr="008F7D7C">
        <w:trPr>
          <w:trHeight w:val="274"/>
        </w:trPr>
        <w:tc>
          <w:tcPr>
            <w:cnfStyle w:val="001000000000" w:firstRow="0" w:lastRow="0" w:firstColumn="1" w:lastColumn="0" w:oddVBand="0" w:evenVBand="0" w:oddHBand="0" w:evenHBand="0" w:firstRowFirstColumn="0" w:firstRowLastColumn="0" w:lastRowFirstColumn="0" w:lastRowLastColumn="0"/>
            <w:tcW w:w="2375" w:type="dxa"/>
            <w:noWrap/>
            <w:hideMark/>
          </w:tcPr>
          <w:p w14:paraId="0DD1A669"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Treat × Post</w:t>
            </w:r>
          </w:p>
        </w:tc>
        <w:tc>
          <w:tcPr>
            <w:tcW w:w="1109" w:type="dxa"/>
            <w:noWrap/>
            <w:hideMark/>
          </w:tcPr>
          <w:p w14:paraId="3EE9C94F"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0.0471* (0.0205)</w:t>
            </w:r>
          </w:p>
        </w:tc>
        <w:tc>
          <w:tcPr>
            <w:tcW w:w="1221" w:type="dxa"/>
            <w:noWrap/>
            <w:hideMark/>
          </w:tcPr>
          <w:p w14:paraId="29DCBA43"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0.0290* **(0.0070)</w:t>
            </w:r>
          </w:p>
        </w:tc>
        <w:tc>
          <w:tcPr>
            <w:tcW w:w="1484" w:type="dxa"/>
            <w:noWrap/>
            <w:hideMark/>
          </w:tcPr>
          <w:p w14:paraId="13E258A9"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0.0766* (0.0355)</w:t>
            </w:r>
          </w:p>
        </w:tc>
        <w:tc>
          <w:tcPr>
            <w:tcW w:w="1348" w:type="dxa"/>
            <w:noWrap/>
            <w:hideMark/>
          </w:tcPr>
          <w:p w14:paraId="6D700756"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0.0293*** (0.0067)</w:t>
            </w:r>
          </w:p>
        </w:tc>
        <w:tc>
          <w:tcPr>
            <w:tcW w:w="1474" w:type="dxa"/>
            <w:noWrap/>
            <w:hideMark/>
          </w:tcPr>
          <w:p w14:paraId="7DD65411"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0.0536** (0.0194)</w:t>
            </w:r>
          </w:p>
        </w:tc>
      </w:tr>
      <w:tr w:rsidR="008061A3" w:rsidRPr="008872DE" w14:paraId="06628D1A" w14:textId="77777777" w:rsidTr="008F7D7C">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375" w:type="dxa"/>
            <w:noWrap/>
            <w:hideMark/>
          </w:tcPr>
          <w:p w14:paraId="72FAB4D0"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Structure (Str)</w:t>
            </w:r>
          </w:p>
        </w:tc>
        <w:tc>
          <w:tcPr>
            <w:tcW w:w="1109" w:type="dxa"/>
            <w:noWrap/>
            <w:hideMark/>
          </w:tcPr>
          <w:p w14:paraId="16F77638"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p>
        </w:tc>
        <w:tc>
          <w:tcPr>
            <w:tcW w:w="1221" w:type="dxa"/>
            <w:noWrap/>
            <w:hideMark/>
          </w:tcPr>
          <w:p w14:paraId="2E7EF020"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p>
        </w:tc>
        <w:tc>
          <w:tcPr>
            <w:tcW w:w="1484" w:type="dxa"/>
            <w:noWrap/>
            <w:hideMark/>
          </w:tcPr>
          <w:p w14:paraId="56CED4CA"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p>
        </w:tc>
        <w:tc>
          <w:tcPr>
            <w:tcW w:w="1348" w:type="dxa"/>
            <w:noWrap/>
            <w:hideMark/>
          </w:tcPr>
          <w:p w14:paraId="57C62911"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p>
        </w:tc>
        <w:tc>
          <w:tcPr>
            <w:tcW w:w="1474" w:type="dxa"/>
            <w:noWrap/>
            <w:hideMark/>
          </w:tcPr>
          <w:p w14:paraId="6822494A"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0.0569* (0.0277)</w:t>
            </w:r>
          </w:p>
        </w:tc>
      </w:tr>
      <w:tr w:rsidR="008061A3" w:rsidRPr="008872DE" w14:paraId="3AF86C55" w14:textId="77777777" w:rsidTr="008F7D7C">
        <w:trPr>
          <w:trHeight w:val="274"/>
        </w:trPr>
        <w:tc>
          <w:tcPr>
            <w:cnfStyle w:val="001000000000" w:firstRow="0" w:lastRow="0" w:firstColumn="1" w:lastColumn="0" w:oddVBand="0" w:evenVBand="0" w:oddHBand="0" w:evenHBand="0" w:firstRowFirstColumn="0" w:firstRowLastColumn="0" w:lastRowFirstColumn="0" w:lastRowLastColumn="0"/>
            <w:tcW w:w="2375" w:type="dxa"/>
            <w:noWrap/>
            <w:hideMark/>
          </w:tcPr>
          <w:p w14:paraId="0DCBE388"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ERC</w:t>
            </w:r>
          </w:p>
        </w:tc>
        <w:tc>
          <w:tcPr>
            <w:tcW w:w="1109" w:type="dxa"/>
            <w:noWrap/>
            <w:hideMark/>
          </w:tcPr>
          <w:p w14:paraId="61E49E03"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p>
        </w:tc>
        <w:tc>
          <w:tcPr>
            <w:tcW w:w="2705" w:type="dxa"/>
            <w:gridSpan w:val="2"/>
            <w:noWrap/>
            <w:hideMark/>
          </w:tcPr>
          <w:p w14:paraId="1A8ECF7B"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0.0599***</w:t>
            </w:r>
          </w:p>
          <w:p w14:paraId="73BA54DB"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(0.0129)</w:t>
            </w:r>
          </w:p>
        </w:tc>
        <w:tc>
          <w:tcPr>
            <w:tcW w:w="1348" w:type="dxa"/>
            <w:noWrap/>
            <w:hideMark/>
          </w:tcPr>
          <w:p w14:paraId="4E565815"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p>
        </w:tc>
        <w:tc>
          <w:tcPr>
            <w:tcW w:w="1474" w:type="dxa"/>
            <w:noWrap/>
            <w:hideMark/>
          </w:tcPr>
          <w:p w14:paraId="617E07A7"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p>
        </w:tc>
      </w:tr>
      <w:tr w:rsidR="008061A3" w:rsidRPr="008872DE" w14:paraId="262A8B3A" w14:textId="77777777" w:rsidTr="008F7D7C">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375" w:type="dxa"/>
            <w:noWrap/>
            <w:hideMark/>
          </w:tcPr>
          <w:p w14:paraId="6760CA79"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CCTI</w:t>
            </w:r>
          </w:p>
        </w:tc>
        <w:tc>
          <w:tcPr>
            <w:tcW w:w="1109" w:type="dxa"/>
            <w:noWrap/>
            <w:hideMark/>
          </w:tcPr>
          <w:p w14:paraId="07447CBF"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p>
        </w:tc>
        <w:tc>
          <w:tcPr>
            <w:tcW w:w="1221" w:type="dxa"/>
            <w:noWrap/>
            <w:hideMark/>
          </w:tcPr>
          <w:p w14:paraId="6972575E"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p>
        </w:tc>
        <w:tc>
          <w:tcPr>
            <w:tcW w:w="1484" w:type="dxa"/>
            <w:noWrap/>
            <w:hideMark/>
          </w:tcPr>
          <w:p w14:paraId="628EA2E3"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p>
        </w:tc>
        <w:tc>
          <w:tcPr>
            <w:tcW w:w="1348" w:type="dxa"/>
            <w:noWrap/>
            <w:hideMark/>
          </w:tcPr>
          <w:p w14:paraId="150BD454"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0.0428*** (0.00113)</w:t>
            </w:r>
          </w:p>
        </w:tc>
        <w:tc>
          <w:tcPr>
            <w:tcW w:w="1474" w:type="dxa"/>
            <w:noWrap/>
            <w:hideMark/>
          </w:tcPr>
          <w:p w14:paraId="01DD69A5"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p>
        </w:tc>
      </w:tr>
      <w:tr w:rsidR="008061A3" w:rsidRPr="008872DE" w14:paraId="23DE98D8" w14:textId="77777777" w:rsidTr="008F7D7C">
        <w:trPr>
          <w:trHeight w:val="274"/>
        </w:trPr>
        <w:tc>
          <w:tcPr>
            <w:cnfStyle w:val="001000000000" w:firstRow="0" w:lastRow="0" w:firstColumn="1" w:lastColumn="0" w:oddVBand="0" w:evenVBand="0" w:oddHBand="0" w:evenHBand="0" w:firstRowFirstColumn="0" w:firstRowLastColumn="0" w:lastRowFirstColumn="0" w:lastRowLastColumn="0"/>
            <w:tcW w:w="2375" w:type="dxa"/>
            <w:noWrap/>
            <w:hideMark/>
          </w:tcPr>
          <w:p w14:paraId="492BF0F6"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Control</w:t>
            </w:r>
          </w:p>
        </w:tc>
        <w:tc>
          <w:tcPr>
            <w:tcW w:w="1109" w:type="dxa"/>
            <w:noWrap/>
            <w:hideMark/>
          </w:tcPr>
          <w:p w14:paraId="35C7E363"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221" w:type="dxa"/>
            <w:noWrap/>
            <w:hideMark/>
          </w:tcPr>
          <w:p w14:paraId="506B1485"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484" w:type="dxa"/>
            <w:noWrap/>
            <w:hideMark/>
          </w:tcPr>
          <w:p w14:paraId="36FF1E10"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348" w:type="dxa"/>
            <w:noWrap/>
            <w:hideMark/>
          </w:tcPr>
          <w:p w14:paraId="74312D4B"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474" w:type="dxa"/>
            <w:noWrap/>
            <w:hideMark/>
          </w:tcPr>
          <w:p w14:paraId="1DA37C27"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r>
      <w:tr w:rsidR="008061A3" w:rsidRPr="008872DE" w14:paraId="6C7957B5" w14:textId="77777777" w:rsidTr="008F7D7C">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375" w:type="dxa"/>
            <w:noWrap/>
            <w:hideMark/>
          </w:tcPr>
          <w:p w14:paraId="2D9A648C"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Province FE</w:t>
            </w:r>
          </w:p>
        </w:tc>
        <w:tc>
          <w:tcPr>
            <w:tcW w:w="1109" w:type="dxa"/>
            <w:noWrap/>
            <w:hideMark/>
          </w:tcPr>
          <w:p w14:paraId="17100CAE"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221" w:type="dxa"/>
            <w:noWrap/>
            <w:hideMark/>
          </w:tcPr>
          <w:p w14:paraId="5DC31D11"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484" w:type="dxa"/>
            <w:noWrap/>
            <w:hideMark/>
          </w:tcPr>
          <w:p w14:paraId="213EF550"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348" w:type="dxa"/>
            <w:noWrap/>
            <w:hideMark/>
          </w:tcPr>
          <w:p w14:paraId="0755B344"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474" w:type="dxa"/>
            <w:noWrap/>
            <w:hideMark/>
          </w:tcPr>
          <w:p w14:paraId="7DCAE9D4"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r>
      <w:tr w:rsidR="008061A3" w:rsidRPr="008872DE" w14:paraId="27F396E7" w14:textId="77777777" w:rsidTr="008F7D7C">
        <w:trPr>
          <w:trHeight w:val="274"/>
        </w:trPr>
        <w:tc>
          <w:tcPr>
            <w:cnfStyle w:val="001000000000" w:firstRow="0" w:lastRow="0" w:firstColumn="1" w:lastColumn="0" w:oddVBand="0" w:evenVBand="0" w:oddHBand="0" w:evenHBand="0" w:firstRowFirstColumn="0" w:firstRowLastColumn="0" w:lastRowFirstColumn="0" w:lastRowLastColumn="0"/>
            <w:tcW w:w="2375" w:type="dxa"/>
            <w:noWrap/>
            <w:hideMark/>
          </w:tcPr>
          <w:p w14:paraId="0626B7F7"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Year FE</w:t>
            </w:r>
          </w:p>
        </w:tc>
        <w:tc>
          <w:tcPr>
            <w:tcW w:w="1109" w:type="dxa"/>
            <w:noWrap/>
            <w:hideMark/>
          </w:tcPr>
          <w:p w14:paraId="166C1FED"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221" w:type="dxa"/>
            <w:noWrap/>
            <w:hideMark/>
          </w:tcPr>
          <w:p w14:paraId="4D118C7B"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484" w:type="dxa"/>
            <w:noWrap/>
            <w:hideMark/>
          </w:tcPr>
          <w:p w14:paraId="35472C2B"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348" w:type="dxa"/>
            <w:noWrap/>
            <w:hideMark/>
          </w:tcPr>
          <w:p w14:paraId="06762D2A"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474" w:type="dxa"/>
            <w:noWrap/>
            <w:hideMark/>
          </w:tcPr>
          <w:p w14:paraId="7EAF58EE"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r>
      <w:tr w:rsidR="008061A3" w:rsidRPr="008872DE" w14:paraId="4CAB6EBB" w14:textId="77777777" w:rsidTr="008F7D7C">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375" w:type="dxa"/>
            <w:noWrap/>
            <w:hideMark/>
          </w:tcPr>
          <w:p w14:paraId="46F0D9E2"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N</w:t>
            </w:r>
          </w:p>
        </w:tc>
        <w:tc>
          <w:tcPr>
            <w:tcW w:w="1109" w:type="dxa"/>
            <w:noWrap/>
            <w:hideMark/>
          </w:tcPr>
          <w:p w14:paraId="20E39543"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360</w:t>
            </w:r>
          </w:p>
        </w:tc>
        <w:tc>
          <w:tcPr>
            <w:tcW w:w="1221" w:type="dxa"/>
            <w:noWrap/>
            <w:hideMark/>
          </w:tcPr>
          <w:p w14:paraId="55E1DCDE"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360</w:t>
            </w:r>
          </w:p>
        </w:tc>
        <w:tc>
          <w:tcPr>
            <w:tcW w:w="1484" w:type="dxa"/>
            <w:noWrap/>
            <w:hideMark/>
          </w:tcPr>
          <w:p w14:paraId="54E30CF6"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360</w:t>
            </w:r>
          </w:p>
        </w:tc>
        <w:tc>
          <w:tcPr>
            <w:tcW w:w="1348" w:type="dxa"/>
            <w:noWrap/>
            <w:hideMark/>
          </w:tcPr>
          <w:p w14:paraId="25750AD1"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360</w:t>
            </w:r>
          </w:p>
        </w:tc>
        <w:tc>
          <w:tcPr>
            <w:tcW w:w="1474" w:type="dxa"/>
            <w:noWrap/>
            <w:hideMark/>
          </w:tcPr>
          <w:p w14:paraId="162CB86A"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360</w:t>
            </w:r>
          </w:p>
        </w:tc>
      </w:tr>
      <w:tr w:rsidR="008061A3" w:rsidRPr="008872DE" w14:paraId="538DB84F" w14:textId="77777777" w:rsidTr="008F7D7C">
        <w:trPr>
          <w:trHeight w:val="274"/>
        </w:trPr>
        <w:tc>
          <w:tcPr>
            <w:cnfStyle w:val="001000000000" w:firstRow="0" w:lastRow="0" w:firstColumn="1" w:lastColumn="0" w:oddVBand="0" w:evenVBand="0" w:oddHBand="0" w:evenHBand="0" w:firstRowFirstColumn="0" w:firstRowLastColumn="0" w:lastRowFirstColumn="0" w:lastRowLastColumn="0"/>
            <w:tcW w:w="2375" w:type="dxa"/>
            <w:noWrap/>
            <w:hideMark/>
          </w:tcPr>
          <w:p w14:paraId="67C3ECEC"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R²</w:t>
            </w:r>
          </w:p>
        </w:tc>
        <w:tc>
          <w:tcPr>
            <w:tcW w:w="1109" w:type="dxa"/>
            <w:noWrap/>
            <w:hideMark/>
          </w:tcPr>
          <w:p w14:paraId="626516A3"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0.9338</w:t>
            </w:r>
          </w:p>
        </w:tc>
        <w:tc>
          <w:tcPr>
            <w:tcW w:w="1221" w:type="dxa"/>
            <w:noWrap/>
            <w:hideMark/>
          </w:tcPr>
          <w:p w14:paraId="5B22638C"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0.91906</w:t>
            </w:r>
          </w:p>
        </w:tc>
        <w:tc>
          <w:tcPr>
            <w:tcW w:w="1484" w:type="dxa"/>
            <w:noWrap/>
            <w:hideMark/>
          </w:tcPr>
          <w:p w14:paraId="5151E71F"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0.9146</w:t>
            </w:r>
          </w:p>
        </w:tc>
        <w:tc>
          <w:tcPr>
            <w:tcW w:w="1348" w:type="dxa"/>
            <w:noWrap/>
            <w:hideMark/>
          </w:tcPr>
          <w:p w14:paraId="4E1C745E"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0.9253</w:t>
            </w:r>
          </w:p>
        </w:tc>
        <w:tc>
          <w:tcPr>
            <w:tcW w:w="1474" w:type="dxa"/>
            <w:noWrap/>
            <w:hideMark/>
          </w:tcPr>
          <w:p w14:paraId="34A90767"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0.7194</w:t>
            </w:r>
          </w:p>
        </w:tc>
      </w:tr>
    </w:tbl>
    <w:bookmarkEnd w:id="64"/>
    <w:p w14:paraId="1D918399" w14:textId="5AC9F87E" w:rsidR="008061A3" w:rsidRDefault="008061A3" w:rsidP="008061A3">
      <w:pPr>
        <w:autoSpaceDE w:val="0"/>
        <w:autoSpaceDN w:val="0"/>
        <w:adjustRightInd w:val="0"/>
        <w:rPr>
          <w:rFonts w:eastAsia="CMR12"/>
          <w:sz w:val="20"/>
          <w:szCs w:val="20"/>
          <w14:ligatures w14:val="standardContextual"/>
        </w:rPr>
      </w:pPr>
      <w:r w:rsidRPr="0031513B">
        <w:rPr>
          <w:rFonts w:eastAsia="CMR12"/>
          <w:sz w:val="20"/>
          <w:szCs w:val="20"/>
          <w14:ligatures w14:val="standardContextual"/>
        </w:rPr>
        <w:t>Robust standard errors clustered by province parentheses, and values ***, **, *</w:t>
      </w:r>
      <w:proofErr w:type="gramStart"/>
      <w:r w:rsidRPr="0031513B">
        <w:rPr>
          <w:rFonts w:eastAsia="CMR12"/>
          <w:sz w:val="20"/>
          <w:szCs w:val="20"/>
          <w14:ligatures w14:val="standardContextual"/>
        </w:rPr>
        <w:t>, .</w:t>
      </w:r>
      <w:proofErr w:type="gramEnd"/>
      <w:r w:rsidRPr="0031513B">
        <w:rPr>
          <w:rFonts w:eastAsia="CMR12"/>
          <w:sz w:val="20"/>
          <w:szCs w:val="20"/>
          <w14:ligatures w14:val="standardContextual"/>
        </w:rPr>
        <w:t>, indicate 0.1%, 1%, 5%, and 10% significant levels, respectively. FE and N are the abbreviations for Fixed effects and number of observations, respectively.</w:t>
      </w:r>
    </w:p>
    <w:p w14:paraId="68495E0C" w14:textId="77777777" w:rsidR="00E46CC7" w:rsidRPr="00F7014D" w:rsidRDefault="00E46CC7" w:rsidP="008061A3">
      <w:pPr>
        <w:autoSpaceDE w:val="0"/>
        <w:autoSpaceDN w:val="0"/>
        <w:adjustRightInd w:val="0"/>
        <w:rPr>
          <w:rFonts w:eastAsia="CMR12"/>
          <w:sz w:val="20"/>
          <w:szCs w:val="20"/>
          <w14:ligatures w14:val="standardContextual"/>
        </w:rPr>
      </w:pPr>
    </w:p>
    <w:p w14:paraId="208AA57B" w14:textId="77777777" w:rsidR="008061A3" w:rsidRPr="007F6C04" w:rsidRDefault="008061A3" w:rsidP="008061A3">
      <w:pPr>
        <w:pStyle w:val="Heading2"/>
      </w:pPr>
      <w:r w:rsidRPr="007F6C04">
        <w:lastRenderedPageBreak/>
        <w:t>4. 6 Heterogeneity analysis</w:t>
      </w:r>
    </w:p>
    <w:p w14:paraId="01FB1543" w14:textId="77777777" w:rsidR="008061A3" w:rsidRPr="00834276" w:rsidRDefault="008061A3" w:rsidP="008061A3">
      <w:pPr>
        <w:pStyle w:val="Heading3"/>
      </w:pPr>
      <w:r w:rsidRPr="007F6C04">
        <w:t xml:space="preserve">4.6.1 Subgroup heterogeneous analysis </w:t>
      </w:r>
    </w:p>
    <w:p w14:paraId="186B59F3" w14:textId="77777777" w:rsidR="008061A3" w:rsidRPr="00046F57" w:rsidRDefault="008061A3" w:rsidP="008430EF">
      <w:pPr>
        <w:pStyle w:val="Paragraph"/>
        <w:jc w:val="both"/>
        <w:rPr>
          <w:rFonts w:eastAsia="STIX-Regular"/>
        </w:rPr>
      </w:pPr>
      <w:r w:rsidRPr="007F6C04">
        <w:rPr>
          <w:rFonts w:eastAsia="STIX-Regular"/>
        </w:rPr>
        <w:t xml:space="preserve">   </w:t>
      </w:r>
      <w:r w:rsidRPr="00046F57">
        <w:rPr>
          <w:rFonts w:eastAsia="STIX-Regular"/>
        </w:rPr>
        <w:t xml:space="preserve">To explore how the CETS pilot policy varies across regions, we assess its effectiveness by considering factors like economic development, resource availability, and population density. For instance, the eastern region’s favorable terrain and climate support a dense population and industrial growth. To investigate this heterogeneity, we divide 30 provinces into three groups based on China’s administrative divisions: eastern, central, and western. The eastern region includes provinces and cities like Beijing, Tianjin, Hebei, Liaoning, Shanghai, Jiangsu, Zhejiang, Fujian, Shandong, Guangdong, and Hainan. The Central region includes provinces such as Shanxi, Jilin, Anhui, Jiangxi, Henan, Hubei, Hunan, and Heilongjiang. The western region includes provinces such as Chongqing, Sichuan, Guizhou, Yunnan, Shaanxi, Gansu, Qinghai, Ningxia, Inner Mongolia, Guangxi, and Xinjiang. </w:t>
      </w:r>
    </w:p>
    <w:p w14:paraId="69667201" w14:textId="24A439C6" w:rsidR="008061A3" w:rsidRDefault="008061A3" w:rsidP="008430EF">
      <w:pPr>
        <w:pStyle w:val="TableofFigures"/>
        <w:tabs>
          <w:tab w:val="right" w:leader="dot" w:pos="9350"/>
        </w:tabs>
        <w:spacing w:before="240"/>
        <w:jc w:val="both"/>
        <w:rPr>
          <w:shd w:val="clear" w:color="auto" w:fill="FFFFFF"/>
        </w:rPr>
      </w:pPr>
      <w:r w:rsidRPr="00046F57">
        <w:rPr>
          <w:rFonts w:eastAsia="STIX-Regular"/>
          <w14:ligatures w14:val="standardContextual"/>
        </w:rPr>
        <w:t xml:space="preserve">    </w:t>
      </w:r>
      <w:bookmarkStart w:id="65" w:name="_Toc202190497"/>
      <w:r w:rsidR="00E46CC7">
        <w:rPr>
          <w:rFonts w:eastAsia="STIX-Regular"/>
          <w14:ligatures w14:val="standardContextual"/>
        </w:rPr>
        <w:t xml:space="preserve">        </w:t>
      </w:r>
      <w:hyperlink w:anchor="_Toc202190498" w:history="1">
        <w:r w:rsidR="00E46CC7" w:rsidRPr="00E46CC7">
          <w:rPr>
            <w:rStyle w:val="Hyperlink"/>
            <w:b/>
            <w:bCs/>
            <w:noProof/>
            <w:u w:val="none"/>
          </w:rPr>
          <w:t xml:space="preserve">Table </w:t>
        </w:r>
        <w:r w:rsidR="00F25894">
          <w:rPr>
            <w:rStyle w:val="Hyperlink"/>
            <w:b/>
            <w:bCs/>
            <w:noProof/>
            <w:u w:val="none"/>
          </w:rPr>
          <w:t>7</w:t>
        </w:r>
        <w:r w:rsidR="00E46CC7" w:rsidRPr="00E46CC7">
          <w:rPr>
            <w:shd w:val="clear" w:color="auto" w:fill="FFFFFF"/>
          </w:rPr>
          <w:t xml:space="preserve"> </w:t>
        </w:r>
      </w:hyperlink>
      <w:r w:rsidRPr="00046F57">
        <w:rPr>
          <w:shd w:val="clear" w:color="auto" w:fill="FFFFFF"/>
        </w:rPr>
        <w:t>shows that the CETS policy (Treat × Post) significantly boosted TFPGE across regions, with the West showing the largest increase (0.029***, p &lt; 0.001), followed by the East (0.025***, p &lt; 0.001) and Central (0.017***, p &lt; 0.001). The West’s gains stem from its low baseline TFPGE (0.594994) and coal abundance, aiding efficiency upgrades in areas like Inner Mongolia. The East benefits from advanced technology, FDI (0.072***), and energy consumption (0.277***), despite negative impacts from GDP per capita (-0.316***) and population (-0.441**). The Central region’s smaller gains reflect structural constraints and weaker policy enforcement, highlighting regional variations in CETS effectiveness.</w:t>
      </w:r>
      <w:bookmarkEnd w:id="65"/>
      <w:r w:rsidRPr="00046F57">
        <w:rPr>
          <w:shd w:val="clear" w:color="auto" w:fill="FFFFFF"/>
        </w:rPr>
        <w:t xml:space="preserve"> </w:t>
      </w:r>
    </w:p>
    <w:p w14:paraId="6B4355E9" w14:textId="77777777" w:rsidR="00F25894" w:rsidRDefault="00F25894" w:rsidP="00F25894">
      <w:pPr>
        <w:rPr>
          <w:lang w:val="en-GB" w:eastAsia="en-GB"/>
        </w:rPr>
      </w:pPr>
    </w:p>
    <w:p w14:paraId="6EDC4D94" w14:textId="77777777" w:rsidR="00F25894" w:rsidRPr="00F25894" w:rsidRDefault="00F25894" w:rsidP="00F25894">
      <w:pPr>
        <w:rPr>
          <w:lang w:val="en-GB" w:eastAsia="en-GB"/>
        </w:rPr>
      </w:pPr>
    </w:p>
    <w:p w14:paraId="1A308016" w14:textId="53188C78" w:rsidR="008061A3" w:rsidRPr="008872DE" w:rsidRDefault="008061A3" w:rsidP="008061A3">
      <w:pPr>
        <w:pStyle w:val="Tabletitle"/>
      </w:pPr>
      <w:bookmarkStart w:id="66" w:name="_Toc197416833"/>
      <w:bookmarkStart w:id="67" w:name="_Toc202190498"/>
      <w:r w:rsidRPr="008872DE">
        <w:rPr>
          <w:b/>
          <w:bCs/>
        </w:rPr>
        <w:lastRenderedPageBreak/>
        <w:t xml:space="preserve">Table </w:t>
      </w:r>
      <w:r w:rsidR="00F25894">
        <w:rPr>
          <w:b/>
          <w:bCs/>
        </w:rPr>
        <w:t>7</w:t>
      </w:r>
      <w:r w:rsidRPr="008872DE">
        <w:rPr>
          <w:b/>
          <w:bCs/>
        </w:rPr>
        <w:t>.</w:t>
      </w:r>
      <w:r w:rsidRPr="008872DE">
        <w:t xml:space="preserve"> </w:t>
      </w:r>
      <w:r w:rsidRPr="008872DE">
        <w:rPr>
          <w:rFonts w:eastAsia="CMR12"/>
        </w:rPr>
        <w:t>Comparison of CETS effects on TFPGE in different geographical locations</w:t>
      </w:r>
      <w:bookmarkEnd w:id="66"/>
      <w:bookmarkEnd w:id="67"/>
    </w:p>
    <w:tbl>
      <w:tblPr>
        <w:tblStyle w:val="PlainTable2"/>
        <w:tblW w:w="0" w:type="auto"/>
        <w:tblLook w:val="04A0" w:firstRow="1" w:lastRow="0" w:firstColumn="1" w:lastColumn="0" w:noHBand="0" w:noVBand="1"/>
      </w:tblPr>
      <w:tblGrid>
        <w:gridCol w:w="2268"/>
        <w:gridCol w:w="1985"/>
        <w:gridCol w:w="1984"/>
        <w:gridCol w:w="2127"/>
      </w:tblGrid>
      <w:tr w:rsidR="008061A3" w:rsidRPr="008872DE" w14:paraId="2228C7D4" w14:textId="77777777" w:rsidTr="008F7D7C">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268" w:type="dxa"/>
            <w:vMerge w:val="restart"/>
            <w:noWrap/>
            <w:hideMark/>
          </w:tcPr>
          <w:p w14:paraId="51AE78CC"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Variables</w:t>
            </w:r>
          </w:p>
        </w:tc>
        <w:tc>
          <w:tcPr>
            <w:tcW w:w="1985" w:type="dxa"/>
            <w:noWrap/>
            <w:hideMark/>
          </w:tcPr>
          <w:p w14:paraId="2D5D1BC7" w14:textId="77777777" w:rsidR="008061A3" w:rsidRPr="008872DE" w:rsidRDefault="008061A3" w:rsidP="008F7D7C">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b w:val="0"/>
                <w:bCs w:val="0"/>
              </w:rPr>
            </w:pPr>
            <w:r w:rsidRPr="008872DE">
              <w:rPr>
                <w:rFonts w:ascii="Times New Roman" w:eastAsia="CMR12" w:hAnsi="Times New Roman" w:cs="Times New Roman"/>
                <w:b w:val="0"/>
                <w:bCs w:val="0"/>
              </w:rPr>
              <w:t>East</w:t>
            </w:r>
          </w:p>
        </w:tc>
        <w:tc>
          <w:tcPr>
            <w:tcW w:w="1984" w:type="dxa"/>
            <w:noWrap/>
            <w:hideMark/>
          </w:tcPr>
          <w:p w14:paraId="67FF69D2" w14:textId="77777777" w:rsidR="008061A3" w:rsidRPr="008872DE" w:rsidRDefault="008061A3" w:rsidP="008F7D7C">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b w:val="0"/>
                <w:bCs w:val="0"/>
              </w:rPr>
            </w:pPr>
            <w:r w:rsidRPr="008872DE">
              <w:rPr>
                <w:rFonts w:ascii="Times New Roman" w:eastAsia="CMR12" w:hAnsi="Times New Roman" w:cs="Times New Roman"/>
                <w:b w:val="0"/>
                <w:bCs w:val="0"/>
              </w:rPr>
              <w:t>Central</w:t>
            </w:r>
          </w:p>
        </w:tc>
        <w:tc>
          <w:tcPr>
            <w:tcW w:w="2127" w:type="dxa"/>
            <w:noWrap/>
            <w:hideMark/>
          </w:tcPr>
          <w:p w14:paraId="4C8B96E6" w14:textId="77777777" w:rsidR="008061A3" w:rsidRPr="008872DE" w:rsidRDefault="008061A3" w:rsidP="008F7D7C">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b w:val="0"/>
                <w:bCs w:val="0"/>
              </w:rPr>
            </w:pPr>
            <w:r w:rsidRPr="008872DE">
              <w:rPr>
                <w:rFonts w:ascii="Times New Roman" w:eastAsia="CMR12" w:hAnsi="Times New Roman" w:cs="Times New Roman"/>
                <w:b w:val="0"/>
                <w:bCs w:val="0"/>
              </w:rPr>
              <w:t>West</w:t>
            </w:r>
          </w:p>
        </w:tc>
      </w:tr>
      <w:tr w:rsidR="008061A3" w:rsidRPr="008872DE" w14:paraId="00C29BD5"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268" w:type="dxa"/>
            <w:vMerge/>
            <w:tcBorders>
              <w:bottom w:val="single" w:sz="12" w:space="0" w:color="auto"/>
            </w:tcBorders>
            <w:hideMark/>
          </w:tcPr>
          <w:p w14:paraId="1186D46E"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p>
        </w:tc>
        <w:tc>
          <w:tcPr>
            <w:tcW w:w="1985" w:type="dxa"/>
            <w:tcBorders>
              <w:bottom w:val="single" w:sz="12" w:space="0" w:color="auto"/>
            </w:tcBorders>
            <w:noWrap/>
            <w:hideMark/>
          </w:tcPr>
          <w:p w14:paraId="7C902D37"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w:t>
            </w:r>
          </w:p>
        </w:tc>
        <w:tc>
          <w:tcPr>
            <w:tcW w:w="1984" w:type="dxa"/>
            <w:tcBorders>
              <w:bottom w:val="single" w:sz="12" w:space="0" w:color="auto"/>
            </w:tcBorders>
            <w:noWrap/>
            <w:hideMark/>
          </w:tcPr>
          <w:p w14:paraId="42238C18"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(2)</w:t>
            </w:r>
          </w:p>
        </w:tc>
        <w:tc>
          <w:tcPr>
            <w:tcW w:w="2127" w:type="dxa"/>
            <w:tcBorders>
              <w:bottom w:val="single" w:sz="12" w:space="0" w:color="auto"/>
            </w:tcBorders>
            <w:noWrap/>
            <w:hideMark/>
          </w:tcPr>
          <w:p w14:paraId="68C24AF6"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w:t>
            </w:r>
          </w:p>
        </w:tc>
      </w:tr>
      <w:tr w:rsidR="008061A3" w:rsidRPr="008872DE" w14:paraId="76BCF506"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268" w:type="dxa"/>
            <w:tcBorders>
              <w:top w:val="single" w:sz="12" w:space="0" w:color="auto"/>
            </w:tcBorders>
            <w:noWrap/>
            <w:hideMark/>
          </w:tcPr>
          <w:p w14:paraId="44E0F366"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Treat × Post</w:t>
            </w:r>
          </w:p>
        </w:tc>
        <w:tc>
          <w:tcPr>
            <w:tcW w:w="1985" w:type="dxa"/>
            <w:tcBorders>
              <w:top w:val="single" w:sz="12" w:space="0" w:color="auto"/>
            </w:tcBorders>
            <w:noWrap/>
            <w:hideMark/>
          </w:tcPr>
          <w:p w14:paraId="04E672AA"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0.025***</w:t>
            </w:r>
          </w:p>
          <w:p w14:paraId="17C9A433"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(0.009)</w:t>
            </w:r>
          </w:p>
          <w:p w14:paraId="2DACF419" w14:textId="77777777" w:rsidR="008061A3" w:rsidRPr="008872DE" w:rsidRDefault="008061A3" w:rsidP="008F7D7C">
            <w:pPr>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p>
        </w:tc>
        <w:tc>
          <w:tcPr>
            <w:tcW w:w="1984" w:type="dxa"/>
            <w:tcBorders>
              <w:top w:val="single" w:sz="12" w:space="0" w:color="auto"/>
            </w:tcBorders>
            <w:noWrap/>
            <w:hideMark/>
          </w:tcPr>
          <w:p w14:paraId="5F1D2611" w14:textId="77777777" w:rsidR="008061A3" w:rsidRPr="008872DE" w:rsidRDefault="008061A3" w:rsidP="008F7D7C">
            <w:pPr>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    0.017***</w:t>
            </w:r>
          </w:p>
          <w:p w14:paraId="7C4A42D9" w14:textId="77777777" w:rsidR="008061A3" w:rsidRPr="008872DE" w:rsidRDefault="008061A3" w:rsidP="008F7D7C">
            <w:pPr>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(0.006)</w:t>
            </w:r>
          </w:p>
        </w:tc>
        <w:tc>
          <w:tcPr>
            <w:tcW w:w="2127" w:type="dxa"/>
            <w:tcBorders>
              <w:top w:val="single" w:sz="12" w:space="0" w:color="auto"/>
            </w:tcBorders>
            <w:noWrap/>
            <w:hideMark/>
          </w:tcPr>
          <w:p w14:paraId="47F37585"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0.029***</w:t>
            </w:r>
          </w:p>
          <w:p w14:paraId="61F03E5D"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(0.011)</w:t>
            </w:r>
          </w:p>
          <w:p w14:paraId="589567D3" w14:textId="77777777" w:rsidR="008061A3" w:rsidRPr="008872DE" w:rsidRDefault="008061A3" w:rsidP="008F7D7C">
            <w:pPr>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p>
        </w:tc>
      </w:tr>
      <w:tr w:rsidR="008061A3" w:rsidRPr="008872DE" w14:paraId="52C3BA6B"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268" w:type="dxa"/>
            <w:noWrap/>
            <w:hideMark/>
          </w:tcPr>
          <w:p w14:paraId="4A10CC2F"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Human.capital</w:t>
            </w:r>
          </w:p>
        </w:tc>
        <w:tc>
          <w:tcPr>
            <w:tcW w:w="1985" w:type="dxa"/>
            <w:noWrap/>
            <w:hideMark/>
          </w:tcPr>
          <w:p w14:paraId="0175FB39"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0.056</w:t>
            </w:r>
          </w:p>
          <w:p w14:paraId="26336C83"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(0.056)</w:t>
            </w:r>
          </w:p>
        </w:tc>
        <w:tc>
          <w:tcPr>
            <w:tcW w:w="1984" w:type="dxa"/>
            <w:noWrap/>
            <w:hideMark/>
          </w:tcPr>
          <w:p w14:paraId="1DD696EA"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0.026</w:t>
            </w:r>
          </w:p>
          <w:p w14:paraId="4C684C43"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(0.048)</w:t>
            </w:r>
          </w:p>
        </w:tc>
        <w:tc>
          <w:tcPr>
            <w:tcW w:w="2127" w:type="dxa"/>
            <w:noWrap/>
            <w:hideMark/>
          </w:tcPr>
          <w:p w14:paraId="58427FD7"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0.050</w:t>
            </w:r>
          </w:p>
          <w:p w14:paraId="0A2F4701"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(0.057)</w:t>
            </w:r>
          </w:p>
        </w:tc>
      </w:tr>
      <w:tr w:rsidR="008061A3" w:rsidRPr="008872DE" w14:paraId="4DA0ECD8"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268" w:type="dxa"/>
            <w:noWrap/>
            <w:hideMark/>
          </w:tcPr>
          <w:p w14:paraId="39D37888"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GDPP</w:t>
            </w:r>
          </w:p>
        </w:tc>
        <w:tc>
          <w:tcPr>
            <w:tcW w:w="1985" w:type="dxa"/>
            <w:noWrap/>
            <w:hideMark/>
          </w:tcPr>
          <w:p w14:paraId="00C3D533"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-0.316***</w:t>
            </w:r>
          </w:p>
          <w:p w14:paraId="73D6A631"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(0.099)</w:t>
            </w:r>
          </w:p>
        </w:tc>
        <w:tc>
          <w:tcPr>
            <w:tcW w:w="1984" w:type="dxa"/>
            <w:noWrap/>
            <w:hideMark/>
          </w:tcPr>
          <w:p w14:paraId="0CB2AD80"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-0.019</w:t>
            </w:r>
          </w:p>
          <w:p w14:paraId="3DB6C4B8"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(0.069)</w:t>
            </w:r>
          </w:p>
        </w:tc>
        <w:tc>
          <w:tcPr>
            <w:tcW w:w="2127" w:type="dxa"/>
            <w:noWrap/>
            <w:hideMark/>
          </w:tcPr>
          <w:p w14:paraId="27A589AE"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0.002</w:t>
            </w:r>
          </w:p>
          <w:p w14:paraId="149FB2F4"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(0.082)</w:t>
            </w:r>
          </w:p>
        </w:tc>
      </w:tr>
      <w:tr w:rsidR="008061A3" w:rsidRPr="008872DE" w14:paraId="43B2FC9F"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268" w:type="dxa"/>
            <w:noWrap/>
            <w:hideMark/>
          </w:tcPr>
          <w:p w14:paraId="31AAE8C5"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FDI</w:t>
            </w:r>
          </w:p>
        </w:tc>
        <w:tc>
          <w:tcPr>
            <w:tcW w:w="1985" w:type="dxa"/>
            <w:noWrap/>
            <w:hideMark/>
          </w:tcPr>
          <w:p w14:paraId="04B0A04B"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 0.072***</w:t>
            </w:r>
          </w:p>
          <w:p w14:paraId="0701FEBE"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(0.023)</w:t>
            </w:r>
          </w:p>
        </w:tc>
        <w:tc>
          <w:tcPr>
            <w:tcW w:w="1984" w:type="dxa"/>
            <w:noWrap/>
            <w:hideMark/>
          </w:tcPr>
          <w:p w14:paraId="729679EA"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0.003</w:t>
            </w:r>
          </w:p>
          <w:p w14:paraId="11CFFD5F"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(0.018)</w:t>
            </w:r>
          </w:p>
        </w:tc>
        <w:tc>
          <w:tcPr>
            <w:tcW w:w="2127" w:type="dxa"/>
            <w:noWrap/>
            <w:hideMark/>
          </w:tcPr>
          <w:p w14:paraId="7337E69F"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-0.024*</w:t>
            </w:r>
          </w:p>
          <w:p w14:paraId="42975C0B"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(-0.014)</w:t>
            </w:r>
          </w:p>
        </w:tc>
      </w:tr>
      <w:tr w:rsidR="008061A3" w:rsidRPr="008872DE" w14:paraId="7D1BDEBB"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4253" w:type="dxa"/>
            <w:gridSpan w:val="2"/>
            <w:noWrap/>
            <w:hideMark/>
          </w:tcPr>
          <w:p w14:paraId="1201C780" w14:textId="77777777" w:rsidR="007008F3" w:rsidRDefault="008061A3" w:rsidP="008F7D7C">
            <w:pPr>
              <w:autoSpaceDE w:val="0"/>
              <w:autoSpaceDN w:val="0"/>
              <w:adjustRightInd w:val="0"/>
              <w:rPr>
                <w:rFonts w:ascii="Times New Roman" w:eastAsia="CMR12" w:hAnsi="Times New Roman" w:cs="Times New Roman"/>
              </w:rPr>
            </w:pPr>
            <w:r w:rsidRPr="008872DE">
              <w:rPr>
                <w:rFonts w:ascii="Times New Roman" w:eastAsia="CMR12" w:hAnsi="Times New Roman" w:cs="Times New Roman"/>
                <w:b w:val="0"/>
                <w:bCs w:val="0"/>
              </w:rPr>
              <w:t xml:space="preserve">                 EC                        </w:t>
            </w:r>
            <w:r w:rsidR="007008F3" w:rsidRPr="008872DE">
              <w:rPr>
                <w:rFonts w:ascii="Times New Roman" w:eastAsia="CMR12" w:hAnsi="Times New Roman" w:cs="Times New Roman"/>
                <w:b w:val="0"/>
                <w:bCs w:val="0"/>
              </w:rPr>
              <w:t>0.277***</w:t>
            </w:r>
            <w:r w:rsidRPr="008872DE">
              <w:rPr>
                <w:rFonts w:ascii="Times New Roman" w:eastAsia="CMR12" w:hAnsi="Times New Roman" w:cs="Times New Roman"/>
                <w:b w:val="0"/>
                <w:bCs w:val="0"/>
              </w:rPr>
              <w:t xml:space="preserve">      </w:t>
            </w:r>
          </w:p>
          <w:p w14:paraId="35B35D68" w14:textId="7AC57F4F" w:rsidR="008061A3" w:rsidRPr="007008F3" w:rsidRDefault="007008F3" w:rsidP="008F7D7C">
            <w:pPr>
              <w:autoSpaceDE w:val="0"/>
              <w:autoSpaceDN w:val="0"/>
              <w:adjustRightInd w:val="0"/>
              <w:rPr>
                <w:rFonts w:ascii="Times New Roman" w:eastAsia="CMR12" w:hAnsi="Times New Roman" w:cs="Times New Roman"/>
              </w:rPr>
            </w:pPr>
            <w:r>
              <w:rPr>
                <w:rFonts w:ascii="Times New Roman" w:eastAsia="CMR12" w:hAnsi="Times New Roman" w:cs="Times New Roman"/>
                <w:b w:val="0"/>
                <w:bCs w:val="0"/>
              </w:rPr>
              <w:t xml:space="preserve">                                              </w:t>
            </w:r>
            <w:r w:rsidRPr="008872DE">
              <w:rPr>
                <w:rFonts w:ascii="Times New Roman" w:eastAsia="CMR12" w:hAnsi="Times New Roman" w:cs="Times New Roman"/>
                <w:b w:val="0"/>
                <w:bCs w:val="0"/>
              </w:rPr>
              <w:t>(0.084)</w:t>
            </w:r>
            <w:r w:rsidR="008061A3" w:rsidRPr="008872DE">
              <w:rPr>
                <w:rFonts w:ascii="Times New Roman" w:eastAsia="CMR12" w:hAnsi="Times New Roman" w:cs="Times New Roman"/>
                <w:b w:val="0"/>
                <w:bCs w:val="0"/>
              </w:rPr>
              <w:t xml:space="preserve"> </w:t>
            </w:r>
          </w:p>
        </w:tc>
        <w:tc>
          <w:tcPr>
            <w:tcW w:w="1984" w:type="dxa"/>
            <w:noWrap/>
            <w:hideMark/>
          </w:tcPr>
          <w:p w14:paraId="3D133433"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0.032</w:t>
            </w:r>
          </w:p>
          <w:p w14:paraId="24C66511"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(0.048)</w:t>
            </w:r>
          </w:p>
        </w:tc>
        <w:tc>
          <w:tcPr>
            <w:tcW w:w="2127" w:type="dxa"/>
            <w:noWrap/>
            <w:hideMark/>
          </w:tcPr>
          <w:p w14:paraId="6A1FFD2A"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0.009</w:t>
            </w:r>
          </w:p>
          <w:p w14:paraId="684012BE"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(0.040)</w:t>
            </w:r>
          </w:p>
        </w:tc>
      </w:tr>
      <w:tr w:rsidR="008061A3" w:rsidRPr="008872DE" w14:paraId="7F83439B"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268" w:type="dxa"/>
            <w:noWrap/>
            <w:hideMark/>
          </w:tcPr>
          <w:p w14:paraId="313CB8BA"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POPN</w:t>
            </w:r>
          </w:p>
        </w:tc>
        <w:tc>
          <w:tcPr>
            <w:tcW w:w="1985" w:type="dxa"/>
            <w:noWrap/>
            <w:hideMark/>
          </w:tcPr>
          <w:p w14:paraId="018776BD"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-0.441**</w:t>
            </w:r>
          </w:p>
          <w:p w14:paraId="44E2E8DB"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(0.182)</w:t>
            </w:r>
          </w:p>
        </w:tc>
        <w:tc>
          <w:tcPr>
            <w:tcW w:w="1984" w:type="dxa"/>
            <w:noWrap/>
            <w:hideMark/>
          </w:tcPr>
          <w:p w14:paraId="500BFC3D"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0.091</w:t>
            </w:r>
          </w:p>
          <w:p w14:paraId="76D89DED"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(0.123)</w:t>
            </w:r>
          </w:p>
        </w:tc>
        <w:tc>
          <w:tcPr>
            <w:tcW w:w="2127" w:type="dxa"/>
            <w:noWrap/>
            <w:hideMark/>
          </w:tcPr>
          <w:p w14:paraId="6F2F9145"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0.495**</w:t>
            </w:r>
          </w:p>
          <w:p w14:paraId="0EE4EDCB"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(0.229)</w:t>
            </w:r>
          </w:p>
        </w:tc>
      </w:tr>
      <w:tr w:rsidR="008061A3" w:rsidRPr="008872DE" w14:paraId="372709B9"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268" w:type="dxa"/>
            <w:noWrap/>
            <w:hideMark/>
          </w:tcPr>
          <w:p w14:paraId="69C5A0B8"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IS</w:t>
            </w:r>
          </w:p>
        </w:tc>
        <w:tc>
          <w:tcPr>
            <w:tcW w:w="1985" w:type="dxa"/>
            <w:noWrap/>
            <w:hideMark/>
          </w:tcPr>
          <w:p w14:paraId="5DB3A628"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1.396</w:t>
            </w:r>
          </w:p>
          <w:p w14:paraId="4FFA3B46"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(1.386)</w:t>
            </w:r>
          </w:p>
        </w:tc>
        <w:tc>
          <w:tcPr>
            <w:tcW w:w="1984" w:type="dxa"/>
            <w:noWrap/>
            <w:hideMark/>
          </w:tcPr>
          <w:p w14:paraId="4DC0D81A"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-0.130</w:t>
            </w:r>
          </w:p>
          <w:p w14:paraId="7A2F37F5"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(0.505)</w:t>
            </w:r>
          </w:p>
        </w:tc>
        <w:tc>
          <w:tcPr>
            <w:tcW w:w="2127" w:type="dxa"/>
            <w:noWrap/>
            <w:hideMark/>
          </w:tcPr>
          <w:p w14:paraId="00829C08"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-1.043</w:t>
            </w:r>
          </w:p>
          <w:p w14:paraId="2DA89348"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(1.124)</w:t>
            </w:r>
          </w:p>
        </w:tc>
      </w:tr>
      <w:tr w:rsidR="008061A3" w:rsidRPr="008872DE" w14:paraId="3D3340E9"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268" w:type="dxa"/>
            <w:noWrap/>
            <w:hideMark/>
          </w:tcPr>
          <w:p w14:paraId="6FACD802"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Province FE</w:t>
            </w:r>
          </w:p>
        </w:tc>
        <w:tc>
          <w:tcPr>
            <w:tcW w:w="1985" w:type="dxa"/>
            <w:noWrap/>
            <w:hideMark/>
          </w:tcPr>
          <w:p w14:paraId="54E7A622"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984" w:type="dxa"/>
            <w:noWrap/>
            <w:hideMark/>
          </w:tcPr>
          <w:p w14:paraId="55DD4549"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2127" w:type="dxa"/>
            <w:noWrap/>
            <w:hideMark/>
          </w:tcPr>
          <w:p w14:paraId="24B7E0AE"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r>
      <w:tr w:rsidR="008061A3" w:rsidRPr="008872DE" w14:paraId="7BD5E915"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268" w:type="dxa"/>
            <w:noWrap/>
            <w:hideMark/>
          </w:tcPr>
          <w:p w14:paraId="724E1258"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Year FE</w:t>
            </w:r>
          </w:p>
        </w:tc>
        <w:tc>
          <w:tcPr>
            <w:tcW w:w="1985" w:type="dxa"/>
            <w:noWrap/>
            <w:hideMark/>
          </w:tcPr>
          <w:p w14:paraId="3822A2CB"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984" w:type="dxa"/>
            <w:noWrap/>
            <w:hideMark/>
          </w:tcPr>
          <w:p w14:paraId="23CC2415"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2127" w:type="dxa"/>
            <w:noWrap/>
            <w:hideMark/>
          </w:tcPr>
          <w:p w14:paraId="69910767"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r>
      <w:tr w:rsidR="008061A3" w:rsidRPr="008872DE" w14:paraId="301A962C" w14:textId="77777777" w:rsidTr="008F7D7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2268" w:type="dxa"/>
            <w:noWrap/>
            <w:hideMark/>
          </w:tcPr>
          <w:p w14:paraId="585BD5B2"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N</w:t>
            </w:r>
          </w:p>
        </w:tc>
        <w:tc>
          <w:tcPr>
            <w:tcW w:w="1985" w:type="dxa"/>
            <w:noWrap/>
            <w:hideMark/>
          </w:tcPr>
          <w:p w14:paraId="5621EC4C"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142</w:t>
            </w:r>
          </w:p>
        </w:tc>
        <w:tc>
          <w:tcPr>
            <w:tcW w:w="1984" w:type="dxa"/>
            <w:noWrap/>
            <w:hideMark/>
          </w:tcPr>
          <w:p w14:paraId="6E730941"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96</w:t>
            </w:r>
          </w:p>
        </w:tc>
        <w:tc>
          <w:tcPr>
            <w:tcW w:w="2127" w:type="dxa"/>
            <w:noWrap/>
            <w:hideMark/>
          </w:tcPr>
          <w:p w14:paraId="4E370729" w14:textId="77777777" w:rsidR="008061A3" w:rsidRPr="008872DE" w:rsidRDefault="008061A3" w:rsidP="008F7D7C">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132</w:t>
            </w:r>
          </w:p>
        </w:tc>
      </w:tr>
      <w:tr w:rsidR="008061A3" w:rsidRPr="008872DE" w14:paraId="2F2AEA99" w14:textId="77777777" w:rsidTr="008F7D7C">
        <w:trPr>
          <w:trHeight w:val="284"/>
        </w:trPr>
        <w:tc>
          <w:tcPr>
            <w:cnfStyle w:val="001000000000" w:firstRow="0" w:lastRow="0" w:firstColumn="1" w:lastColumn="0" w:oddVBand="0" w:evenVBand="0" w:oddHBand="0" w:evenHBand="0" w:firstRowFirstColumn="0" w:firstRowLastColumn="0" w:lastRowFirstColumn="0" w:lastRowLastColumn="0"/>
            <w:tcW w:w="2268" w:type="dxa"/>
            <w:noWrap/>
            <w:hideMark/>
          </w:tcPr>
          <w:p w14:paraId="06FFED81" w14:textId="77777777" w:rsidR="008061A3" w:rsidRPr="008872DE" w:rsidRDefault="008061A3" w:rsidP="008F7D7C">
            <w:pPr>
              <w:autoSpaceDE w:val="0"/>
              <w:autoSpaceDN w:val="0"/>
              <w:adjustRightInd w:val="0"/>
              <w:jc w:val="center"/>
              <w:rPr>
                <w:rFonts w:ascii="Times New Roman" w:eastAsia="CMR12" w:hAnsi="Times New Roman" w:cs="Times New Roman"/>
                <w:b w:val="0"/>
                <w:bCs w:val="0"/>
              </w:rPr>
            </w:pPr>
            <w:r w:rsidRPr="008872DE">
              <w:rPr>
                <w:rFonts w:ascii="Times New Roman" w:eastAsia="CMR12" w:hAnsi="Times New Roman" w:cs="Times New Roman"/>
                <w:b w:val="0"/>
                <w:bCs w:val="0"/>
              </w:rPr>
              <w:t>R²</w:t>
            </w:r>
          </w:p>
        </w:tc>
        <w:tc>
          <w:tcPr>
            <w:tcW w:w="1985" w:type="dxa"/>
            <w:noWrap/>
            <w:hideMark/>
          </w:tcPr>
          <w:p w14:paraId="23472756"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0.257</w:t>
            </w:r>
          </w:p>
        </w:tc>
        <w:tc>
          <w:tcPr>
            <w:tcW w:w="1984" w:type="dxa"/>
            <w:noWrap/>
            <w:hideMark/>
          </w:tcPr>
          <w:p w14:paraId="7BBCCDEE"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0.187</w:t>
            </w:r>
          </w:p>
        </w:tc>
        <w:tc>
          <w:tcPr>
            <w:tcW w:w="2127" w:type="dxa"/>
            <w:noWrap/>
            <w:hideMark/>
          </w:tcPr>
          <w:p w14:paraId="15350C70" w14:textId="77777777" w:rsidR="008061A3" w:rsidRPr="008872DE" w:rsidRDefault="008061A3" w:rsidP="008F7D7C">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0.185</w:t>
            </w:r>
          </w:p>
        </w:tc>
      </w:tr>
    </w:tbl>
    <w:p w14:paraId="1C76B51E" w14:textId="77777777" w:rsidR="008061A3" w:rsidRDefault="008061A3" w:rsidP="008061A3">
      <w:pPr>
        <w:autoSpaceDE w:val="0"/>
        <w:autoSpaceDN w:val="0"/>
        <w:adjustRightInd w:val="0"/>
        <w:rPr>
          <w:rFonts w:eastAsia="CMR12"/>
          <w:sz w:val="20"/>
          <w:szCs w:val="20"/>
          <w14:ligatures w14:val="standardContextual"/>
        </w:rPr>
      </w:pPr>
      <w:bookmarkStart w:id="68" w:name="_Hlk200659151"/>
      <w:r w:rsidRPr="0031513B">
        <w:rPr>
          <w:rFonts w:eastAsia="CMR12"/>
          <w:sz w:val="20"/>
          <w:szCs w:val="20"/>
          <w14:ligatures w14:val="standardContextual"/>
        </w:rPr>
        <w:t>Robust standard errors clustered by province parentheses, and values ***, **, *</w:t>
      </w:r>
      <w:proofErr w:type="gramStart"/>
      <w:r w:rsidRPr="0031513B">
        <w:rPr>
          <w:rFonts w:eastAsia="CMR12"/>
          <w:sz w:val="20"/>
          <w:szCs w:val="20"/>
          <w14:ligatures w14:val="standardContextual"/>
        </w:rPr>
        <w:t>, .</w:t>
      </w:r>
      <w:proofErr w:type="gramEnd"/>
      <w:r w:rsidRPr="0031513B">
        <w:rPr>
          <w:rFonts w:eastAsia="CMR12"/>
          <w:sz w:val="20"/>
          <w:szCs w:val="20"/>
          <w14:ligatures w14:val="standardContextual"/>
        </w:rPr>
        <w:t>, indicate 0.1%, 1%, 5%, and 10% significant levels, respectively. FE and N are the abbreviations for Fixed effects and number of observations, respectively</w:t>
      </w:r>
      <w:bookmarkEnd w:id="68"/>
      <w:r w:rsidRPr="0031513B">
        <w:rPr>
          <w:rFonts w:eastAsia="CMR12"/>
          <w:sz w:val="20"/>
          <w:szCs w:val="20"/>
          <w14:ligatures w14:val="standardContextual"/>
        </w:rPr>
        <w:t>.</w:t>
      </w:r>
    </w:p>
    <w:p w14:paraId="110F08F5" w14:textId="77777777" w:rsidR="008061A3" w:rsidRPr="00834276" w:rsidRDefault="008061A3" w:rsidP="008061A3">
      <w:pPr>
        <w:pStyle w:val="Heading3"/>
      </w:pPr>
      <w:r w:rsidRPr="007F6C04">
        <w:lastRenderedPageBreak/>
        <w:t xml:space="preserve">4.6.2 Regional power structure and regional economic development heterogeneous analysis </w:t>
      </w:r>
    </w:p>
    <w:p w14:paraId="08D7564E" w14:textId="77777777" w:rsidR="008061A3" w:rsidRPr="00046F57" w:rsidRDefault="008061A3" w:rsidP="008061A3">
      <w:pPr>
        <w:pStyle w:val="Paragraph"/>
        <w:jc w:val="both"/>
        <w:rPr>
          <w:rFonts w:eastAsia="STIX-Regular"/>
          <w14:ligatures w14:val="standardContextual"/>
        </w:rPr>
      </w:pPr>
      <w:r w:rsidRPr="007F6C04">
        <w:rPr>
          <w:rFonts w:eastAsia="STIX-Regular"/>
          <w14:ligatures w14:val="standardContextual"/>
        </w:rPr>
        <w:t xml:space="preserve">    </w:t>
      </w:r>
      <w:r w:rsidRPr="00046F57">
        <w:rPr>
          <w:shd w:val="clear" w:color="auto" w:fill="FFFFFF"/>
        </w:rPr>
        <w:t xml:space="preserve">We further examine the CETS policy’s impact across provinces, focusing on power structure (thermal power share in total generation) and economic development (total GDP at 2015 constant prices). The thermal power share reflects the industry’s role in electricity production, with a higher share indicating greater reliance on thermal power, affecting TFGE outcomes </w:t>
      </w:r>
      <w:r w:rsidRPr="00046F57">
        <w:rPr>
          <w:rFonts w:eastAsia="STIX-Regular"/>
          <w14:ligatures w14:val="standardContextual"/>
        </w:rPr>
        <w:fldChar w:fldCharType="begin"/>
      </w:r>
      <w:r w:rsidRPr="00046F57">
        <w:rPr>
          <w:rFonts w:eastAsia="STIX-Regular"/>
          <w14:ligatures w14:val="standardContextual"/>
        </w:rPr>
        <w:instrText xml:space="preserve"> ADDIN ZOTERO_ITEM CSL_CITATION {"citationID":"vPdA22t6","properties":{"formattedCitation":"(M. Meng &amp; Pang, 2023)","plainCitation":"(M. Meng &amp; Pang, 2023)","noteIndex":0},"citationItems":[{"id":504,"uris":["http://zotero.org/users/local/wH06Ygim/items/4SUPPJ5U"],"itemData":{"id":504,"type":"article-journal","abstract":"Abstract\n            Thermal power is the main source of China's electricity supply. Improving total‐factor generation performance (TFGP) is essential for the development of this industry in the current deteriorating operating environment. This study adopts the meta‐frontier nonradial direction distance function approach to measure the static and dynamic TFGPs of the thermal power industry in China's 30 provinces in 2011–2019, and then discusses the regional distribution characteristics and the impact factors using spatial econometric model and Tobit regression method, respectively. Empirical results show that: (I) The TFGPs in central and west China are relatively close, but both are remarkably lower than that in east China. (II) The TFGPs in central and west China have generally remained stable since 2011, whereas that in west China has declined mainly because this region is more susceptible to the situation of electricity supply‐demand. (III) A significant spatial positive correlation exists among provincial TFGPs. High TFGP provinces are mostly in the eastern seaboard region and low TFGP provinces are in southwest China. (IV) Economic development, power structure, fuel prices, and environmental regulation have positive impacts on China's TFGP, while the impacts of technological innovation and energy endowment are not significant.","container-title":"Energy Science &amp; Engineering","DOI":"10.1002/ese3.1468","ISSN":"2050-0505, 2050-0505","issue":"7","journalAbbreviation":"Energy Science &amp; Engineering","language":"en","page":"2668-2685","source":"DOI.org (Crossref)","title":"Total‐factor generation performance analysis of China's thermal power industry using meta‐frontier nonradial distance function approach","volume":"11","author":[{"family":"Meng","given":"Ming"},{"family":"Pang","given":"Tingting"}],"issued":{"date-parts":[["2023",7]]}}}],"schema":"https://github.com/citation-style-language/schema/raw/master/csl-citation.json"} </w:instrText>
      </w:r>
      <w:r w:rsidRPr="00046F57">
        <w:rPr>
          <w:rFonts w:eastAsia="STIX-Regular"/>
          <w14:ligatures w14:val="standardContextual"/>
        </w:rPr>
        <w:fldChar w:fldCharType="separate"/>
      </w:r>
      <w:r w:rsidRPr="00046F57">
        <w:rPr>
          <w:rFonts w:eastAsia="STIX-Regular"/>
        </w:rPr>
        <w:t>(M. Meng &amp; Pang, 2023)</w:t>
      </w:r>
      <w:r w:rsidRPr="00046F57">
        <w:rPr>
          <w:rFonts w:eastAsia="STIX-Regular"/>
          <w14:ligatures w14:val="standardContextual"/>
        </w:rPr>
        <w:fldChar w:fldCharType="end"/>
      </w:r>
      <w:r w:rsidRPr="00046F57">
        <w:rPr>
          <w:shd w:val="clear" w:color="auto" w:fill="FFFFFF"/>
        </w:rPr>
        <w:t xml:space="preserve">. A higher share indicates a greater reliance on thermal power, influencing the policy's effect on TFPGE. Total GDP measures economic development levels, highlighting regional disparities in energy structure </w:t>
      </w:r>
      <w:r w:rsidRPr="00046F57">
        <w:rPr>
          <w:shd w:val="clear" w:color="auto" w:fill="FFFFFF"/>
        </w:rPr>
        <w:fldChar w:fldCharType="begin"/>
      </w:r>
      <w:r w:rsidRPr="00046F57">
        <w:rPr>
          <w:shd w:val="clear" w:color="auto" w:fill="FFFFFF"/>
        </w:rPr>
        <w:instrText xml:space="preserve"> ADDIN ZOTERO_ITEM CSL_CITATION {"citationID":"YEQ8sBGf","properties":{"formattedCitation":"(Bi et al., 2014; Cao et al., 2021; Jin et al., 2024)","plainCitation":"(Bi et al., 2014; Cao et al., 2021; Jin et al., 2024)","noteIndex":0},"citationItems":[{"id":403,"uris":["http://zotero.org/users/local/wH06Ygim/items/4MZDHMRN"],"itemData":{"id":403,"type":"article-journal","container-title":"Energy Policy","DOI":"10.1016/j.enpol.2013.10.056","ISSN":"03014215","journalAbbreviation":"Energy Policy","language":"en","page":"537-546","source":"DOI.org (Crossref)","title":"Does environmental regulation affect energy efficiency in China's thermal power generation? Empirical evidence from a slacks-based DEA model","title-short":"Does environmental regulation affect energy efficiency in China's thermal power generation?","volume":"66","author":[{"family":"Bi","given":"Gong-Bing"},{"family":"Song","given":"Wen"},{"family":"Zhou","given":"P."},{"family":"Liang","given":"Liang"}],"issued":{"date-parts":[["2014",3]]}}},{"id":352,"uris":["http://zotero.org/users/local/wH06Ygim/items/5BAFB2HY"],"itemData":{"id":352,"type":"article-journal","container-title":"Journal of Public Economics","DOI":"10.1016/j.jpubeco.2021.104470","ISSN":"00472727","journalAbbreviation":"Journal of Public Economics","language":"en","page":"104470","source":"DOI.org (Crossref)","title":"When carbon emission trading meets a regulated industry: Evidence from the electricity sector of China","title-short":"When carbon emission trading meets a regulated industry","volume":"200","author":[{"family":"Cao","given":"Jing"},{"family":"Ho","given":"Mun S."},{"family":"Ma","given":"Rong"},{"family":"Teng","given":"Fei"}],"issued":{"date-parts":[["2021",8]]}}},{"id":321,"uris":["http://zotero.org/users/local/wH06Ygim/items/9I4892DW"],"itemData":{"id":321,"type":"article-journal","container-title":"International Journal of Environmental Research","DOI":"10.1007/s41742-024-00584-8","ISSN":"1735-6865, 2008-2304","issue":"2","journalAbbreviation":"Int J Environ Res","language":"en","page":"33","source":"DOI.org (Crossref)","title":"Taxing for a Green Future: How China’s Environmental Protection Tax Law Drives Energy Efficiency","title-short":"Taxing for a Green Future","volume":"18","author":[{"family":"Jin","given":"Xi"},{"family":"Wang","given":"Lizheng"},{"family":"Xie","given":"Qiwei"},{"family":"Li","given":"Yongjun"},{"family":"Liang","given":"Liang"}],"issued":{"date-parts":[["2024",4]]}}}],"schema":"https://github.com/citation-style-language/schema/raw/master/csl-citation.json"} </w:instrText>
      </w:r>
      <w:r w:rsidRPr="00046F57">
        <w:rPr>
          <w:shd w:val="clear" w:color="auto" w:fill="FFFFFF"/>
        </w:rPr>
        <w:fldChar w:fldCharType="separate"/>
      </w:r>
      <w:r w:rsidRPr="00046F57">
        <w:t>(Bi et al., 2014; Cao et al., 2021; Jin et al., 2024)</w:t>
      </w:r>
      <w:r w:rsidRPr="00046F57">
        <w:rPr>
          <w:shd w:val="clear" w:color="auto" w:fill="FFFFFF"/>
        </w:rPr>
        <w:fldChar w:fldCharType="end"/>
      </w:r>
      <w:r w:rsidRPr="00046F57">
        <w:rPr>
          <w:shd w:val="clear" w:color="auto" w:fill="FFFFFF"/>
        </w:rPr>
        <w:t xml:space="preserve">. This analysis reveals how the energy mix and economic factors influence CETS policy effectiveness. </w:t>
      </w:r>
    </w:p>
    <w:p w14:paraId="1EE82171" w14:textId="5E707461" w:rsidR="00E46CC7" w:rsidRDefault="008061A3" w:rsidP="00E46CC7">
      <w:pPr>
        <w:pStyle w:val="TableofFigures"/>
        <w:tabs>
          <w:tab w:val="right" w:leader="dot" w:pos="9350"/>
        </w:tabs>
        <w:jc w:val="both"/>
        <w:rPr>
          <w:rStyle w:val="Hyperlink"/>
          <w:noProof/>
          <w:u w:val="none"/>
        </w:rPr>
      </w:pPr>
      <w:r w:rsidRPr="00046F57">
        <w:rPr>
          <w:rFonts w:eastAsia="STIX-Regular"/>
          <w14:ligatures w14:val="standardContextual"/>
        </w:rPr>
        <w:t xml:space="preserve">    </w:t>
      </w:r>
      <w:bookmarkStart w:id="69" w:name="_Toc202192747"/>
      <w:r w:rsidRPr="00046F57">
        <w:rPr>
          <w:shd w:val="clear" w:color="auto" w:fill="FFFFFF"/>
        </w:rPr>
        <w:t xml:space="preserve">We categorized 30 Chinese provinces into subgroups based on pre-policy (2008–2013) averages of thermal power share and total GDP. Provinces with thermal power share above the median (86.75%) were classified as “High thermal” (e.g., Anhui, Beijing), and those below as “Low thermal” (e.g., Chongqing, Fujian). For economic development, provinces with log total GDP above the median (4.015, ~5.543 billion RMB) were “High GDP” (e.g., Beijing, Jiangsu), and those below were “Low GDP” (e.g., Gansu, Qinghai). This classification highlights variations in energy structure and economic development, aiding analysis of CETS policy effectiveness. </w:t>
      </w:r>
      <w:hyperlink w:anchor="_Toc202192748" w:history="1">
        <w:r w:rsidR="00E46CC7" w:rsidRPr="00E46CC7">
          <w:rPr>
            <w:rStyle w:val="Hyperlink"/>
            <w:b/>
            <w:bCs/>
            <w:noProof/>
            <w:u w:val="none"/>
          </w:rPr>
          <w:t xml:space="preserve">Figure. </w:t>
        </w:r>
        <w:r w:rsidR="008872DE">
          <w:rPr>
            <w:rStyle w:val="Hyperlink"/>
            <w:b/>
            <w:bCs/>
            <w:noProof/>
            <w:u w:val="none"/>
          </w:rPr>
          <w:t>6</w:t>
        </w:r>
        <w:r w:rsidR="00E46CC7" w:rsidRPr="00E46CC7">
          <w:rPr>
            <w:rStyle w:val="Hyperlink"/>
            <w:b/>
            <w:bCs/>
            <w:noProof/>
            <w:u w:val="none"/>
          </w:rPr>
          <w:t>(a)</w:t>
        </w:r>
        <w:r w:rsidR="00E46CC7" w:rsidRPr="00E46CC7">
          <w:rPr>
            <w:rStyle w:val="Hyperlink"/>
            <w:noProof/>
            <w:u w:val="none"/>
          </w:rPr>
          <w:t xml:space="preserve"> </w:t>
        </w:r>
      </w:hyperlink>
      <w:r w:rsidRPr="00046F57">
        <w:rPr>
          <w:shd w:val="clear" w:color="auto" w:fill="FFFFFF"/>
        </w:rPr>
        <w:t xml:space="preserve">and </w:t>
      </w:r>
      <w:hyperlink w:anchor="_Toc202192749" w:history="1">
        <w:r w:rsidR="00E46CC7" w:rsidRPr="00E46CC7">
          <w:rPr>
            <w:rStyle w:val="Hyperlink"/>
            <w:b/>
            <w:bCs/>
            <w:noProof/>
            <w:u w:val="none"/>
          </w:rPr>
          <w:t>F</w:t>
        </w:r>
        <w:r w:rsidR="00E46CC7" w:rsidRPr="00E46CC7">
          <w:rPr>
            <w:rStyle w:val="Hyperlink"/>
            <w:b/>
            <w:bCs/>
            <w:noProof/>
            <w:u w:val="none"/>
          </w:rPr>
          <w:t>i</w:t>
        </w:r>
        <w:r w:rsidR="00E46CC7" w:rsidRPr="00E46CC7">
          <w:rPr>
            <w:rStyle w:val="Hyperlink"/>
            <w:b/>
            <w:bCs/>
            <w:noProof/>
            <w:u w:val="none"/>
          </w:rPr>
          <w:t xml:space="preserve">gure. </w:t>
        </w:r>
        <w:r w:rsidR="008872DE">
          <w:rPr>
            <w:rStyle w:val="Hyperlink"/>
            <w:b/>
            <w:bCs/>
            <w:noProof/>
            <w:u w:val="none"/>
          </w:rPr>
          <w:t>6</w:t>
        </w:r>
        <w:r w:rsidR="00E46CC7" w:rsidRPr="00E46CC7">
          <w:rPr>
            <w:rStyle w:val="Hyperlink"/>
            <w:b/>
            <w:bCs/>
            <w:noProof/>
            <w:u w:val="none"/>
          </w:rPr>
          <w:t>(b)</w:t>
        </w:r>
        <w:r w:rsidR="00E46CC7" w:rsidRPr="00E46CC7">
          <w:rPr>
            <w:rStyle w:val="Hyperlink"/>
            <w:noProof/>
            <w:u w:val="none"/>
          </w:rPr>
          <w:t xml:space="preserve"> </w:t>
        </w:r>
      </w:hyperlink>
      <w:r w:rsidRPr="00046F57">
        <w:rPr>
          <w:shd w:val="clear" w:color="auto" w:fill="FFFFFF"/>
        </w:rPr>
        <w:t xml:space="preserve">illustrate these disparities using data from the China Electric Power Statistical Yearbook and China Statistical Yearbook, respectively. </w:t>
      </w:r>
      <w:r w:rsidRPr="00046F57">
        <w:rPr>
          <w:rFonts w:eastAsia="STIX-Regular"/>
          <w14:ligatures w14:val="standardContextual"/>
        </w:rPr>
        <w:t xml:space="preserve">We re-estimate Eqn. 4. The results are presented in </w:t>
      </w:r>
      <w:hyperlink w:anchor="_Toc202190501" w:history="1">
        <w:r w:rsidR="00E46CC7" w:rsidRPr="00E46CC7">
          <w:rPr>
            <w:rStyle w:val="Hyperlink"/>
            <w:b/>
            <w:bCs/>
            <w:noProof/>
            <w:u w:val="none"/>
          </w:rPr>
          <w:t xml:space="preserve">Table </w:t>
        </w:r>
        <w:r w:rsidR="00F25894">
          <w:rPr>
            <w:rStyle w:val="Hyperlink"/>
            <w:b/>
            <w:bCs/>
            <w:noProof/>
            <w:u w:val="none"/>
          </w:rPr>
          <w:t>8</w:t>
        </w:r>
        <w:r w:rsidR="00E46CC7" w:rsidRPr="00F25894">
          <w:rPr>
            <w:rStyle w:val="Hyperlink"/>
            <w:noProof/>
            <w:color w:val="auto"/>
            <w:u w:val="none"/>
          </w:rPr>
          <w:t>.</w:t>
        </w:r>
        <w:bookmarkEnd w:id="69"/>
        <w:r w:rsidR="00E46CC7" w:rsidRPr="00E46CC7">
          <w:rPr>
            <w:rStyle w:val="Hyperlink"/>
            <w:noProof/>
            <w:u w:val="none"/>
          </w:rPr>
          <w:t xml:space="preserve"> </w:t>
        </w:r>
      </w:hyperlink>
    </w:p>
    <w:p w14:paraId="22B7D8F2" w14:textId="77777777" w:rsidR="00E46CC7" w:rsidRPr="00E46CC7" w:rsidRDefault="00E46CC7" w:rsidP="00E46CC7">
      <w:pPr>
        <w:rPr>
          <w:lang w:val="en-GB" w:eastAsia="en-GB"/>
        </w:rPr>
      </w:pPr>
    </w:p>
    <w:p w14:paraId="4A57B674" w14:textId="77777777" w:rsidR="00E46CC7" w:rsidRDefault="00E46CC7" w:rsidP="00E46CC7">
      <w:pPr>
        <w:keepNext/>
        <w:autoSpaceDE w:val="0"/>
        <w:autoSpaceDN w:val="0"/>
        <w:adjustRightInd w:val="0"/>
        <w:jc w:val="center"/>
      </w:pPr>
      <w:bookmarkStart w:id="70" w:name="_Hlk199348521"/>
      <w:r>
        <w:rPr>
          <w:noProof/>
          <w14:ligatures w14:val="standardContextual"/>
        </w:rPr>
        <w:lastRenderedPageBreak/>
        <w:drawing>
          <wp:inline distT="0" distB="0" distL="0" distR="0" wp14:anchorId="5BAE4BD3" wp14:editId="6D73B7E9">
            <wp:extent cx="4363567" cy="3280757"/>
            <wp:effectExtent l="0" t="0" r="0" b="0"/>
            <wp:docPr id="51307652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076524" name="Picture 513076524"/>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381857" cy="3294508"/>
                    </a:xfrm>
                    <a:prstGeom prst="rect">
                      <a:avLst/>
                    </a:prstGeom>
                  </pic:spPr>
                </pic:pic>
              </a:graphicData>
            </a:graphic>
          </wp:inline>
        </w:drawing>
      </w:r>
    </w:p>
    <w:p w14:paraId="21FF6825" w14:textId="0467E9EB" w:rsidR="00E46CC7" w:rsidRPr="00506FA9" w:rsidRDefault="00E46CC7" w:rsidP="00E46CC7">
      <w:pPr>
        <w:pStyle w:val="Caption"/>
        <w:rPr>
          <w:rFonts w:asciiTheme="minorHAnsi" w:eastAsiaTheme="minorEastAsia" w:hAnsiTheme="minorHAnsi" w:cstheme="minorBidi"/>
          <w:i w:val="0"/>
          <w:iCs w:val="0"/>
          <w:color w:val="auto"/>
          <w:sz w:val="21"/>
          <w:szCs w:val="22"/>
        </w:rPr>
      </w:pPr>
      <w:bookmarkStart w:id="71" w:name="_Toc197417643"/>
      <w:bookmarkStart w:id="72" w:name="_Toc199250334"/>
      <w:bookmarkStart w:id="73" w:name="_Toc202192748"/>
      <w:r w:rsidRPr="005B6317">
        <w:rPr>
          <w:b/>
          <w:bCs/>
          <w:i w:val="0"/>
          <w:iCs w:val="0"/>
        </w:rPr>
        <w:t>Fig</w:t>
      </w:r>
      <w:r>
        <w:rPr>
          <w:b/>
          <w:bCs/>
          <w:i w:val="0"/>
          <w:iCs w:val="0"/>
        </w:rPr>
        <w:t>ure</w:t>
      </w:r>
      <w:r>
        <w:rPr>
          <w:b/>
          <w:bCs/>
          <w:i w:val="0"/>
          <w:iCs w:val="0"/>
        </w:rPr>
        <w:t>.</w:t>
      </w:r>
      <w:r w:rsidRPr="005B6317">
        <w:rPr>
          <w:b/>
          <w:bCs/>
          <w:i w:val="0"/>
          <w:iCs w:val="0"/>
        </w:rPr>
        <w:t xml:space="preserve"> </w:t>
      </w:r>
      <w:r w:rsidR="008872DE">
        <w:rPr>
          <w:b/>
          <w:bCs/>
          <w:i w:val="0"/>
          <w:iCs w:val="0"/>
        </w:rPr>
        <w:t>6</w:t>
      </w:r>
      <w:r w:rsidRPr="005B6317">
        <w:rPr>
          <w:b/>
          <w:bCs/>
          <w:i w:val="0"/>
          <w:iCs w:val="0"/>
        </w:rPr>
        <w:t>(a)</w:t>
      </w:r>
      <w:r w:rsidRPr="00506FA9">
        <w:rPr>
          <w:i w:val="0"/>
          <w:iCs w:val="0"/>
        </w:rPr>
        <w:t xml:space="preserve"> </w:t>
      </w:r>
      <w:r w:rsidRPr="00506FA9">
        <w:rPr>
          <w:i w:val="0"/>
          <w:iCs w:val="0"/>
          <w:sz w:val="20"/>
          <w:szCs w:val="20"/>
        </w:rPr>
        <w:t>Provincial categorization by thermal power share</w:t>
      </w:r>
      <w:bookmarkEnd w:id="71"/>
      <w:bookmarkEnd w:id="72"/>
      <w:r>
        <w:rPr>
          <w:i w:val="0"/>
          <w:iCs w:val="0"/>
          <w:sz w:val="20"/>
          <w:szCs w:val="20"/>
        </w:rPr>
        <w:t>.</w:t>
      </w:r>
      <w:bookmarkEnd w:id="73"/>
    </w:p>
    <w:p w14:paraId="5E4B0B69" w14:textId="77777777" w:rsidR="00E46CC7" w:rsidRDefault="00E46CC7" w:rsidP="00E46CC7">
      <w:pPr>
        <w:keepNext/>
        <w:jc w:val="center"/>
      </w:pPr>
      <w:bookmarkStart w:id="74" w:name="_Hlk199348535"/>
      <w:bookmarkEnd w:id="70"/>
      <w:r>
        <w:rPr>
          <w:noProof/>
          <w14:ligatures w14:val="standardContextual"/>
        </w:rPr>
        <w:drawing>
          <wp:inline distT="0" distB="0" distL="0" distR="0" wp14:anchorId="33F0098E" wp14:editId="5D1BF93F">
            <wp:extent cx="4518358" cy="3397135"/>
            <wp:effectExtent l="0" t="0" r="0" b="0"/>
            <wp:docPr id="103400108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01089" name="Picture 1034001089"/>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59036" cy="3427719"/>
                    </a:xfrm>
                    <a:prstGeom prst="rect">
                      <a:avLst/>
                    </a:prstGeom>
                  </pic:spPr>
                </pic:pic>
              </a:graphicData>
            </a:graphic>
          </wp:inline>
        </w:drawing>
      </w:r>
    </w:p>
    <w:p w14:paraId="07212DD6" w14:textId="1B98ED42" w:rsidR="00E46CC7" w:rsidRPr="00E46CC7" w:rsidRDefault="00E46CC7" w:rsidP="00E46CC7">
      <w:pPr>
        <w:pStyle w:val="Caption"/>
        <w:rPr>
          <w:rFonts w:asciiTheme="minorHAnsi" w:eastAsiaTheme="minorEastAsia" w:hAnsiTheme="minorHAnsi" w:cstheme="minorBidi"/>
          <w:i w:val="0"/>
          <w:iCs w:val="0"/>
          <w:color w:val="auto"/>
          <w:sz w:val="21"/>
          <w:szCs w:val="22"/>
        </w:rPr>
      </w:pPr>
      <w:bookmarkStart w:id="75" w:name="_Toc199250335"/>
      <w:bookmarkStart w:id="76" w:name="_Toc202192749"/>
      <w:r w:rsidRPr="005B6317">
        <w:rPr>
          <w:b/>
          <w:bCs/>
          <w:i w:val="0"/>
          <w:iCs w:val="0"/>
        </w:rPr>
        <w:t>Fig</w:t>
      </w:r>
      <w:r>
        <w:rPr>
          <w:b/>
          <w:bCs/>
          <w:i w:val="0"/>
          <w:iCs w:val="0"/>
        </w:rPr>
        <w:t>ure</w:t>
      </w:r>
      <w:r w:rsidRPr="005B6317">
        <w:rPr>
          <w:b/>
          <w:bCs/>
          <w:i w:val="0"/>
          <w:iCs w:val="0"/>
        </w:rPr>
        <w:t xml:space="preserve">. </w:t>
      </w:r>
      <w:r w:rsidR="008872DE">
        <w:rPr>
          <w:b/>
          <w:bCs/>
          <w:i w:val="0"/>
          <w:iCs w:val="0"/>
        </w:rPr>
        <w:t>6</w:t>
      </w:r>
      <w:r w:rsidRPr="005B6317">
        <w:rPr>
          <w:b/>
          <w:bCs/>
          <w:i w:val="0"/>
          <w:iCs w:val="0"/>
        </w:rPr>
        <w:t>(b)</w:t>
      </w:r>
      <w:r w:rsidRPr="001E2E24">
        <w:rPr>
          <w:i w:val="0"/>
          <w:iCs w:val="0"/>
        </w:rPr>
        <w:t xml:space="preserve"> </w:t>
      </w:r>
      <w:r w:rsidRPr="001E2E24">
        <w:rPr>
          <w:i w:val="0"/>
          <w:iCs w:val="0"/>
          <w:sz w:val="20"/>
          <w:szCs w:val="20"/>
        </w:rPr>
        <w:t>Province categorization by Log Total GDP</w:t>
      </w:r>
      <w:bookmarkEnd w:id="74"/>
      <w:bookmarkEnd w:id="75"/>
      <w:r>
        <w:rPr>
          <w:i w:val="0"/>
          <w:iCs w:val="0"/>
          <w:sz w:val="20"/>
          <w:szCs w:val="20"/>
        </w:rPr>
        <w:t>.</w:t>
      </w:r>
      <w:bookmarkEnd w:id="76"/>
    </w:p>
    <w:p w14:paraId="6AAD5992" w14:textId="3C3C6098" w:rsidR="008061A3" w:rsidRPr="00046F57" w:rsidRDefault="008061A3" w:rsidP="00E46CC7">
      <w:pPr>
        <w:pStyle w:val="TableofFigures"/>
        <w:tabs>
          <w:tab w:val="right" w:leader="dot" w:pos="9350"/>
        </w:tabs>
        <w:jc w:val="both"/>
        <w:rPr>
          <w:shd w:val="clear" w:color="auto" w:fill="FFFFFF"/>
        </w:rPr>
      </w:pPr>
      <w:r w:rsidRPr="00E46CC7">
        <w:rPr>
          <w:shd w:val="clear" w:color="auto" w:fill="FFFFFF"/>
        </w:rPr>
        <w:lastRenderedPageBreak/>
        <w:t xml:space="preserve">      </w:t>
      </w:r>
      <w:bookmarkStart w:id="77" w:name="_Toc202190499"/>
      <w:r w:rsidR="00E46CC7" w:rsidRPr="00E46CC7">
        <w:rPr>
          <w:rStyle w:val="Hyperlink"/>
          <w:noProof/>
          <w:u w:val="none"/>
        </w:rPr>
        <w:fldChar w:fldCharType="begin"/>
      </w:r>
      <w:r w:rsidR="00E46CC7" w:rsidRPr="00E46CC7">
        <w:rPr>
          <w:rStyle w:val="Hyperlink"/>
          <w:noProof/>
          <w:u w:val="none"/>
        </w:rPr>
        <w:instrText xml:space="preserve"> </w:instrText>
      </w:r>
      <w:r w:rsidR="00E46CC7" w:rsidRPr="00E46CC7">
        <w:rPr>
          <w:noProof/>
        </w:rPr>
        <w:instrText>HYPERLINK \l "_Toc202190501"</w:instrText>
      </w:r>
      <w:r w:rsidR="00E46CC7" w:rsidRPr="00E46CC7">
        <w:rPr>
          <w:rStyle w:val="Hyperlink"/>
          <w:noProof/>
          <w:u w:val="none"/>
        </w:rPr>
        <w:instrText xml:space="preserve"> </w:instrText>
      </w:r>
      <w:r w:rsidR="00E46CC7" w:rsidRPr="00E46CC7">
        <w:rPr>
          <w:rStyle w:val="Hyperlink"/>
          <w:noProof/>
          <w:u w:val="none"/>
        </w:rPr>
      </w:r>
      <w:r w:rsidR="00E46CC7" w:rsidRPr="00E46CC7">
        <w:rPr>
          <w:rStyle w:val="Hyperlink"/>
          <w:noProof/>
          <w:u w:val="none"/>
        </w:rPr>
        <w:fldChar w:fldCharType="separate"/>
      </w:r>
      <w:r w:rsidR="00E46CC7" w:rsidRPr="00E46CC7">
        <w:rPr>
          <w:rStyle w:val="Hyperlink"/>
          <w:b/>
          <w:bCs/>
          <w:noProof/>
          <w:u w:val="none"/>
        </w:rPr>
        <w:t xml:space="preserve">Table </w:t>
      </w:r>
      <w:r w:rsidR="00F25894">
        <w:rPr>
          <w:rStyle w:val="Hyperlink"/>
          <w:b/>
          <w:bCs/>
          <w:noProof/>
          <w:u w:val="none"/>
        </w:rPr>
        <w:t>8</w:t>
      </w:r>
      <w:r w:rsidR="00E46CC7" w:rsidRPr="00F25894">
        <w:rPr>
          <w:rStyle w:val="Hyperlink"/>
          <w:noProof/>
          <w:color w:val="auto"/>
          <w:u w:val="none"/>
        </w:rPr>
        <w:t>,</w:t>
      </w:r>
      <w:r w:rsidR="00E46CC7" w:rsidRPr="00E46CC7">
        <w:rPr>
          <w:rStyle w:val="Hyperlink"/>
          <w:noProof/>
          <w:u w:val="none"/>
        </w:rPr>
        <w:t xml:space="preserve"> </w:t>
      </w:r>
      <w:r w:rsidR="00E46CC7" w:rsidRPr="00E46CC7">
        <w:rPr>
          <w:rStyle w:val="Hyperlink"/>
          <w:noProof/>
          <w:u w:val="none"/>
        </w:rPr>
        <w:fldChar w:fldCharType="end"/>
      </w:r>
      <w:r w:rsidRPr="00046F57">
        <w:rPr>
          <w:shd w:val="clear" w:color="auto" w:fill="FFFFFF"/>
        </w:rPr>
        <w:t>columns (1) and (2), examines the CETS pilot policy’s heterogeneous effects on TFPGE based on thermal power share, using province and year-fixed effects with controls. In high thermal power share provinces (column 1), the policy’s effect (Treat x Post) is 0.0146 but not significant. In low thermal power share provinces (column 2), the effect is 0.0260 (0.1% significance), showing greater TFPGE improvement. High thermal share provinces face structural challenges, like higher emission reduction costs and limited alternatives, hindering TFPGE gains. Conversely, low thermal share provinces, with more diversified energy mixes and renewable integration, can adopt cleaner practices more easily, making CETS incentives (e.g., carbon credit trading) more effective in boosting TFPGE.</w:t>
      </w:r>
      <w:bookmarkEnd w:id="77"/>
      <w:r w:rsidRPr="00046F57">
        <w:rPr>
          <w:shd w:val="clear" w:color="auto" w:fill="FFFFFF"/>
        </w:rPr>
        <w:t xml:space="preserve">   </w:t>
      </w:r>
    </w:p>
    <w:p w14:paraId="17523379" w14:textId="3E5937B1" w:rsidR="008061A3" w:rsidRDefault="008061A3" w:rsidP="00E46CC7">
      <w:pPr>
        <w:pStyle w:val="TableofFigures"/>
        <w:tabs>
          <w:tab w:val="right" w:leader="dot" w:pos="9350"/>
        </w:tabs>
        <w:jc w:val="both"/>
        <w:rPr>
          <w:shd w:val="clear" w:color="auto" w:fill="FFFFFF"/>
        </w:rPr>
      </w:pPr>
      <w:r w:rsidRPr="00046F57">
        <w:t xml:space="preserve">    </w:t>
      </w:r>
      <w:bookmarkStart w:id="78" w:name="_Toc202190500"/>
      <w:r w:rsidR="00E46CC7">
        <w:t xml:space="preserve">        </w:t>
      </w:r>
      <w:hyperlink w:anchor="_Toc202190501" w:history="1">
        <w:r w:rsidR="00E46CC7" w:rsidRPr="00E46CC7">
          <w:rPr>
            <w:rStyle w:val="Hyperlink"/>
            <w:b/>
            <w:bCs/>
            <w:noProof/>
            <w:u w:val="none"/>
          </w:rPr>
          <w:t xml:space="preserve">Table </w:t>
        </w:r>
        <w:r w:rsidR="00F25894">
          <w:rPr>
            <w:rStyle w:val="Hyperlink"/>
            <w:b/>
            <w:bCs/>
            <w:noProof/>
            <w:u w:val="none"/>
          </w:rPr>
          <w:t>8</w:t>
        </w:r>
        <w:r w:rsidR="00E46CC7" w:rsidRPr="00F25894">
          <w:rPr>
            <w:rStyle w:val="Hyperlink"/>
            <w:noProof/>
            <w:color w:val="auto"/>
            <w:u w:val="none"/>
          </w:rPr>
          <w:t>,</w:t>
        </w:r>
        <w:r w:rsidR="00E46CC7" w:rsidRPr="00E46CC7">
          <w:rPr>
            <w:rStyle w:val="Hyperlink"/>
            <w:noProof/>
            <w:u w:val="none"/>
          </w:rPr>
          <w:t xml:space="preserve"> </w:t>
        </w:r>
      </w:hyperlink>
      <w:r w:rsidRPr="00046F57">
        <w:rPr>
          <w:shd w:val="clear" w:color="auto" w:fill="FFFFFF"/>
        </w:rPr>
        <w:t>columns (3) and (4), shows the CETS pilot policy’s heterogeneous effects on PGE across economic development levels, using fixed effects and controls. High GDP provinces (column 3) show a non-significant effect (0.0168), while low GDP provinces (column 4) exhibit a significant effect (0.0168, 5% significance), indicating greater policy impact in less developed regions. Low GDP areas, with less advanced infrastructure, see larger efficiency gains through new clean technology investments and face less industrial resistance. Conversely, high GDP regions, with higher baseline efficiency and advanced technology, experience diminishing returns, reducing the CETS’s marginal impact on TFPGE. The CETS policy’s impact on TFPGE varies by region, showing greater effectiveness in provinces with lower thermal power reliance and lower GDP.</w:t>
      </w:r>
      <w:bookmarkEnd w:id="78"/>
    </w:p>
    <w:p w14:paraId="6A358A27" w14:textId="77777777" w:rsidR="00F25894" w:rsidRDefault="00F25894" w:rsidP="00F25894">
      <w:pPr>
        <w:rPr>
          <w:lang w:val="en-GB" w:eastAsia="en-GB"/>
        </w:rPr>
      </w:pPr>
    </w:p>
    <w:p w14:paraId="1D2E48DA" w14:textId="77777777" w:rsidR="00F25894" w:rsidRDefault="00F25894" w:rsidP="00F25894">
      <w:pPr>
        <w:rPr>
          <w:lang w:val="en-GB" w:eastAsia="en-GB"/>
        </w:rPr>
      </w:pPr>
    </w:p>
    <w:p w14:paraId="435E612D" w14:textId="77777777" w:rsidR="00F25894" w:rsidRPr="00F25894" w:rsidRDefault="00F25894" w:rsidP="00F25894">
      <w:pPr>
        <w:rPr>
          <w:lang w:val="en-GB" w:eastAsia="en-GB"/>
        </w:rPr>
      </w:pPr>
    </w:p>
    <w:p w14:paraId="478D5EFB" w14:textId="7301E606" w:rsidR="008061A3" w:rsidRPr="008872DE" w:rsidRDefault="008061A3" w:rsidP="008061A3">
      <w:pPr>
        <w:pStyle w:val="Tabletitle"/>
      </w:pPr>
      <w:bookmarkStart w:id="79" w:name="_Toc197416834"/>
      <w:bookmarkStart w:id="80" w:name="_Toc202190501"/>
      <w:r w:rsidRPr="008872DE">
        <w:rPr>
          <w:b/>
          <w:bCs/>
        </w:rPr>
        <w:lastRenderedPageBreak/>
        <w:t xml:space="preserve">Table </w:t>
      </w:r>
      <w:r w:rsidR="00F25894">
        <w:rPr>
          <w:b/>
          <w:bCs/>
        </w:rPr>
        <w:t>8</w:t>
      </w:r>
      <w:r w:rsidRPr="008872DE">
        <w:rPr>
          <w:b/>
          <w:bCs/>
        </w:rPr>
        <w:t>.</w:t>
      </w:r>
      <w:r w:rsidRPr="008872DE">
        <w:t xml:space="preserve"> </w:t>
      </w:r>
      <w:r w:rsidRPr="008872DE">
        <w:rPr>
          <w:rFonts w:eastAsia="CMR12"/>
        </w:rPr>
        <w:t>Heterogeneous effects of the CETS pilot policy on TFPGE across provinces with varying thermal power share and levels of economic development</w:t>
      </w:r>
      <w:bookmarkEnd w:id="79"/>
      <w:bookmarkEnd w:id="80"/>
    </w:p>
    <w:tbl>
      <w:tblPr>
        <w:tblStyle w:val="PlainTable2"/>
        <w:tblW w:w="8137" w:type="dxa"/>
        <w:tblLook w:val="04A0" w:firstRow="1" w:lastRow="0" w:firstColumn="1" w:lastColumn="0" w:noHBand="0" w:noVBand="1"/>
      </w:tblPr>
      <w:tblGrid>
        <w:gridCol w:w="1833"/>
        <w:gridCol w:w="1593"/>
        <w:gridCol w:w="1593"/>
        <w:gridCol w:w="1732"/>
        <w:gridCol w:w="1386"/>
      </w:tblGrid>
      <w:tr w:rsidR="008061A3" w:rsidRPr="008872DE" w14:paraId="562AA448" w14:textId="77777777" w:rsidTr="008F7D7C">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833" w:type="dxa"/>
            <w:vMerge w:val="restart"/>
            <w:tcBorders>
              <w:top w:val="single" w:sz="4" w:space="0" w:color="7F7F7F" w:themeColor="text1" w:themeTint="80"/>
              <w:left w:val="nil"/>
              <w:right w:val="nil"/>
            </w:tcBorders>
            <w:noWrap/>
            <w:hideMark/>
          </w:tcPr>
          <w:p w14:paraId="15819B9A"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 xml:space="preserve">Variables </w:t>
            </w:r>
          </w:p>
        </w:tc>
        <w:tc>
          <w:tcPr>
            <w:tcW w:w="1593" w:type="dxa"/>
            <w:tcBorders>
              <w:top w:val="single" w:sz="4" w:space="0" w:color="7F7F7F" w:themeColor="text1" w:themeTint="80"/>
              <w:left w:val="nil"/>
              <w:right w:val="nil"/>
            </w:tcBorders>
            <w:hideMark/>
          </w:tcPr>
          <w:p w14:paraId="283B234F" w14:textId="77777777" w:rsidR="008061A3" w:rsidRPr="008872DE" w:rsidRDefault="008061A3" w:rsidP="008F7D7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b w:val="0"/>
                <w:bCs w:val="0"/>
              </w:rPr>
            </w:pPr>
            <w:r w:rsidRPr="008872DE">
              <w:rPr>
                <w:rFonts w:ascii="Times New Roman" w:eastAsia="CMR12" w:hAnsi="Times New Roman" w:cs="Times New Roman"/>
                <w:b w:val="0"/>
                <w:bCs w:val="0"/>
              </w:rPr>
              <w:t>High thermal</w:t>
            </w:r>
          </w:p>
        </w:tc>
        <w:tc>
          <w:tcPr>
            <w:tcW w:w="1593" w:type="dxa"/>
            <w:tcBorders>
              <w:top w:val="single" w:sz="4" w:space="0" w:color="7F7F7F" w:themeColor="text1" w:themeTint="80"/>
              <w:left w:val="nil"/>
              <w:right w:val="nil"/>
            </w:tcBorders>
            <w:noWrap/>
            <w:hideMark/>
          </w:tcPr>
          <w:p w14:paraId="7FC668A9" w14:textId="77777777" w:rsidR="008061A3" w:rsidRPr="008872DE" w:rsidRDefault="008061A3" w:rsidP="008F7D7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b w:val="0"/>
                <w:bCs w:val="0"/>
              </w:rPr>
            </w:pPr>
            <w:r w:rsidRPr="008872DE">
              <w:rPr>
                <w:rFonts w:ascii="Times New Roman" w:eastAsia="CMR12" w:hAnsi="Times New Roman" w:cs="Times New Roman"/>
                <w:b w:val="0"/>
                <w:bCs w:val="0"/>
              </w:rPr>
              <w:t>Low thermal</w:t>
            </w:r>
          </w:p>
        </w:tc>
        <w:tc>
          <w:tcPr>
            <w:tcW w:w="1732" w:type="dxa"/>
            <w:tcBorders>
              <w:top w:val="single" w:sz="4" w:space="0" w:color="7F7F7F" w:themeColor="text1" w:themeTint="80"/>
              <w:left w:val="nil"/>
              <w:right w:val="nil"/>
            </w:tcBorders>
            <w:noWrap/>
            <w:hideMark/>
          </w:tcPr>
          <w:p w14:paraId="79AA08DD" w14:textId="77777777" w:rsidR="008061A3" w:rsidRPr="008872DE" w:rsidRDefault="008061A3" w:rsidP="008F7D7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b w:val="0"/>
                <w:bCs w:val="0"/>
              </w:rPr>
            </w:pPr>
            <w:r w:rsidRPr="008872DE">
              <w:rPr>
                <w:rFonts w:ascii="Times New Roman" w:eastAsia="CMR12" w:hAnsi="Times New Roman" w:cs="Times New Roman"/>
                <w:b w:val="0"/>
                <w:bCs w:val="0"/>
              </w:rPr>
              <w:t xml:space="preserve">High GDP </w:t>
            </w:r>
          </w:p>
        </w:tc>
        <w:tc>
          <w:tcPr>
            <w:tcW w:w="1386" w:type="dxa"/>
            <w:tcBorders>
              <w:top w:val="single" w:sz="4" w:space="0" w:color="7F7F7F" w:themeColor="text1" w:themeTint="80"/>
              <w:left w:val="nil"/>
              <w:right w:val="nil"/>
            </w:tcBorders>
            <w:noWrap/>
            <w:hideMark/>
          </w:tcPr>
          <w:p w14:paraId="0B22EEAA" w14:textId="77777777" w:rsidR="008061A3" w:rsidRPr="008872DE" w:rsidRDefault="008061A3" w:rsidP="008F7D7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imes New Roman" w:eastAsia="CMR12" w:hAnsi="Times New Roman" w:cs="Times New Roman"/>
                <w:b w:val="0"/>
                <w:bCs w:val="0"/>
              </w:rPr>
            </w:pPr>
            <w:r w:rsidRPr="008872DE">
              <w:rPr>
                <w:rFonts w:ascii="Times New Roman" w:eastAsia="CMR12" w:hAnsi="Times New Roman" w:cs="Times New Roman"/>
                <w:b w:val="0"/>
                <w:bCs w:val="0"/>
              </w:rPr>
              <w:t>Low GDP</w:t>
            </w:r>
          </w:p>
        </w:tc>
      </w:tr>
      <w:tr w:rsidR="008061A3" w:rsidRPr="008872DE" w14:paraId="70790F0C" w14:textId="77777777" w:rsidTr="008F7D7C">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0" w:type="auto"/>
            <w:vMerge/>
            <w:tcBorders>
              <w:left w:val="nil"/>
              <w:right w:val="nil"/>
            </w:tcBorders>
            <w:vAlign w:val="center"/>
            <w:hideMark/>
          </w:tcPr>
          <w:p w14:paraId="3CED44A9" w14:textId="77777777" w:rsidR="008061A3" w:rsidRPr="008872DE" w:rsidRDefault="008061A3" w:rsidP="008F7D7C">
            <w:pPr>
              <w:rPr>
                <w:rFonts w:ascii="Times New Roman" w:eastAsia="CMR12" w:hAnsi="Times New Roman" w:cs="Times New Roman"/>
              </w:rPr>
            </w:pPr>
          </w:p>
        </w:tc>
        <w:tc>
          <w:tcPr>
            <w:tcW w:w="1593" w:type="dxa"/>
            <w:tcBorders>
              <w:left w:val="nil"/>
              <w:right w:val="nil"/>
            </w:tcBorders>
            <w:hideMark/>
          </w:tcPr>
          <w:p w14:paraId="756FCD73"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w:t>
            </w:r>
          </w:p>
        </w:tc>
        <w:tc>
          <w:tcPr>
            <w:tcW w:w="1593" w:type="dxa"/>
            <w:tcBorders>
              <w:left w:val="nil"/>
              <w:right w:val="nil"/>
            </w:tcBorders>
            <w:noWrap/>
            <w:hideMark/>
          </w:tcPr>
          <w:p w14:paraId="5D29AE9C"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(2)</w:t>
            </w:r>
          </w:p>
        </w:tc>
        <w:tc>
          <w:tcPr>
            <w:tcW w:w="1732" w:type="dxa"/>
            <w:tcBorders>
              <w:left w:val="nil"/>
              <w:right w:val="nil"/>
            </w:tcBorders>
            <w:noWrap/>
            <w:hideMark/>
          </w:tcPr>
          <w:p w14:paraId="231C7E00"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(3)</w:t>
            </w:r>
          </w:p>
        </w:tc>
        <w:tc>
          <w:tcPr>
            <w:tcW w:w="1386" w:type="dxa"/>
            <w:tcBorders>
              <w:left w:val="nil"/>
              <w:right w:val="nil"/>
            </w:tcBorders>
            <w:noWrap/>
            <w:hideMark/>
          </w:tcPr>
          <w:p w14:paraId="171A8BFC"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(4)</w:t>
            </w:r>
          </w:p>
        </w:tc>
      </w:tr>
      <w:tr w:rsidR="008061A3" w:rsidRPr="008872DE" w14:paraId="140658D2" w14:textId="77777777" w:rsidTr="008F7D7C">
        <w:trPr>
          <w:trHeight w:val="285"/>
        </w:trPr>
        <w:tc>
          <w:tcPr>
            <w:cnfStyle w:val="001000000000" w:firstRow="0" w:lastRow="0" w:firstColumn="1" w:lastColumn="0" w:oddVBand="0" w:evenVBand="0" w:oddHBand="0" w:evenHBand="0" w:firstRowFirstColumn="0" w:firstRowLastColumn="0" w:lastRowFirstColumn="0" w:lastRowLastColumn="0"/>
            <w:tcW w:w="1833" w:type="dxa"/>
            <w:tcBorders>
              <w:top w:val="nil"/>
              <w:left w:val="nil"/>
              <w:bottom w:val="nil"/>
              <w:right w:val="nil"/>
            </w:tcBorders>
            <w:noWrap/>
            <w:hideMark/>
          </w:tcPr>
          <w:p w14:paraId="6F432AA7"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Treat × Period</w:t>
            </w:r>
          </w:p>
        </w:tc>
        <w:tc>
          <w:tcPr>
            <w:tcW w:w="1593" w:type="dxa"/>
            <w:tcBorders>
              <w:top w:val="nil"/>
              <w:left w:val="nil"/>
              <w:bottom w:val="nil"/>
              <w:right w:val="nil"/>
            </w:tcBorders>
            <w:hideMark/>
          </w:tcPr>
          <w:p w14:paraId="7EC84D10"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0.0146 </w:t>
            </w:r>
          </w:p>
          <w:p w14:paraId="65415D84"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(0.0137)</w:t>
            </w:r>
          </w:p>
        </w:tc>
        <w:tc>
          <w:tcPr>
            <w:tcW w:w="1593" w:type="dxa"/>
            <w:tcBorders>
              <w:top w:val="nil"/>
              <w:left w:val="nil"/>
              <w:bottom w:val="nil"/>
              <w:right w:val="nil"/>
            </w:tcBorders>
            <w:noWrap/>
            <w:hideMark/>
          </w:tcPr>
          <w:p w14:paraId="17AD70CA"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0.0260*** (0.0062)</w:t>
            </w:r>
          </w:p>
        </w:tc>
        <w:tc>
          <w:tcPr>
            <w:tcW w:w="1732" w:type="dxa"/>
            <w:tcBorders>
              <w:top w:val="nil"/>
              <w:left w:val="nil"/>
              <w:bottom w:val="nil"/>
              <w:right w:val="nil"/>
            </w:tcBorders>
            <w:noWrap/>
            <w:hideMark/>
          </w:tcPr>
          <w:p w14:paraId="73CCB512"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0.0168 </w:t>
            </w:r>
          </w:p>
          <w:p w14:paraId="0F4B5C84"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(0.0096)</w:t>
            </w:r>
          </w:p>
        </w:tc>
        <w:tc>
          <w:tcPr>
            <w:tcW w:w="1386" w:type="dxa"/>
            <w:tcBorders>
              <w:top w:val="nil"/>
              <w:left w:val="nil"/>
              <w:bottom w:val="nil"/>
              <w:right w:val="nil"/>
            </w:tcBorders>
            <w:noWrap/>
            <w:hideMark/>
          </w:tcPr>
          <w:p w14:paraId="5928F9DC"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0.0236* (0.0105)</w:t>
            </w:r>
          </w:p>
        </w:tc>
      </w:tr>
      <w:tr w:rsidR="008061A3" w:rsidRPr="008872DE" w14:paraId="78BF2876" w14:textId="77777777" w:rsidTr="008F7D7C">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833" w:type="dxa"/>
            <w:tcBorders>
              <w:left w:val="nil"/>
              <w:right w:val="nil"/>
            </w:tcBorders>
            <w:noWrap/>
            <w:hideMark/>
          </w:tcPr>
          <w:p w14:paraId="528A3958"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Human.capital</w:t>
            </w:r>
          </w:p>
        </w:tc>
        <w:tc>
          <w:tcPr>
            <w:tcW w:w="1593" w:type="dxa"/>
            <w:tcBorders>
              <w:left w:val="nil"/>
              <w:right w:val="nil"/>
            </w:tcBorders>
            <w:hideMark/>
          </w:tcPr>
          <w:p w14:paraId="1BC6C2A2"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0.0917 (0.0800)</w:t>
            </w:r>
          </w:p>
        </w:tc>
        <w:tc>
          <w:tcPr>
            <w:tcW w:w="1593" w:type="dxa"/>
            <w:tcBorders>
              <w:left w:val="nil"/>
              <w:right w:val="nil"/>
            </w:tcBorders>
            <w:noWrap/>
            <w:hideMark/>
          </w:tcPr>
          <w:p w14:paraId="33257647"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-0.0599* </w:t>
            </w:r>
          </w:p>
          <w:p w14:paraId="3F3748D3"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(-0.0269)</w:t>
            </w:r>
          </w:p>
        </w:tc>
        <w:tc>
          <w:tcPr>
            <w:tcW w:w="1732" w:type="dxa"/>
            <w:tcBorders>
              <w:left w:val="nil"/>
              <w:right w:val="nil"/>
            </w:tcBorders>
            <w:noWrap/>
            <w:hideMark/>
          </w:tcPr>
          <w:p w14:paraId="46F1A7FC"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0.1200. </w:t>
            </w:r>
          </w:p>
          <w:p w14:paraId="3FC64683"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(0.0676)</w:t>
            </w:r>
          </w:p>
        </w:tc>
        <w:tc>
          <w:tcPr>
            <w:tcW w:w="1386" w:type="dxa"/>
            <w:tcBorders>
              <w:left w:val="nil"/>
              <w:right w:val="nil"/>
            </w:tcBorders>
            <w:noWrap/>
            <w:hideMark/>
          </w:tcPr>
          <w:p w14:paraId="348BF2DF"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-0.0552* </w:t>
            </w:r>
          </w:p>
          <w:p w14:paraId="77F12256"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(-0.0238)</w:t>
            </w:r>
          </w:p>
        </w:tc>
      </w:tr>
      <w:tr w:rsidR="008061A3" w:rsidRPr="008872DE" w14:paraId="7665F305" w14:textId="77777777" w:rsidTr="008F7D7C">
        <w:trPr>
          <w:trHeight w:val="285"/>
        </w:trPr>
        <w:tc>
          <w:tcPr>
            <w:cnfStyle w:val="001000000000" w:firstRow="0" w:lastRow="0" w:firstColumn="1" w:lastColumn="0" w:oddVBand="0" w:evenVBand="0" w:oddHBand="0" w:evenHBand="0" w:firstRowFirstColumn="0" w:firstRowLastColumn="0" w:lastRowFirstColumn="0" w:lastRowLastColumn="0"/>
            <w:tcW w:w="1833" w:type="dxa"/>
            <w:tcBorders>
              <w:top w:val="nil"/>
              <w:left w:val="nil"/>
              <w:bottom w:val="nil"/>
              <w:right w:val="nil"/>
            </w:tcBorders>
            <w:noWrap/>
            <w:hideMark/>
          </w:tcPr>
          <w:p w14:paraId="5880345F"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GDPP</w:t>
            </w:r>
          </w:p>
        </w:tc>
        <w:tc>
          <w:tcPr>
            <w:tcW w:w="1593" w:type="dxa"/>
            <w:tcBorders>
              <w:top w:val="nil"/>
              <w:left w:val="nil"/>
              <w:bottom w:val="nil"/>
              <w:right w:val="nil"/>
            </w:tcBorders>
            <w:hideMark/>
          </w:tcPr>
          <w:p w14:paraId="496603F1"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-0.1484 (0.1713)</w:t>
            </w:r>
          </w:p>
        </w:tc>
        <w:tc>
          <w:tcPr>
            <w:tcW w:w="1593" w:type="dxa"/>
            <w:tcBorders>
              <w:top w:val="nil"/>
              <w:left w:val="nil"/>
              <w:bottom w:val="nil"/>
              <w:right w:val="nil"/>
            </w:tcBorders>
            <w:noWrap/>
            <w:hideMark/>
          </w:tcPr>
          <w:p w14:paraId="69B20FD0"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0.0302 </w:t>
            </w:r>
          </w:p>
          <w:p w14:paraId="6F15818A"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(0.0973)</w:t>
            </w:r>
          </w:p>
        </w:tc>
        <w:tc>
          <w:tcPr>
            <w:tcW w:w="1732" w:type="dxa"/>
            <w:tcBorders>
              <w:top w:val="nil"/>
              <w:left w:val="nil"/>
              <w:bottom w:val="nil"/>
              <w:right w:val="nil"/>
            </w:tcBorders>
            <w:noWrap/>
            <w:hideMark/>
          </w:tcPr>
          <w:p w14:paraId="27178950"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-0.2123 </w:t>
            </w:r>
          </w:p>
          <w:p w14:paraId="4CFB9768"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(-0.1942)</w:t>
            </w:r>
          </w:p>
        </w:tc>
        <w:tc>
          <w:tcPr>
            <w:tcW w:w="1386" w:type="dxa"/>
            <w:tcBorders>
              <w:top w:val="nil"/>
              <w:left w:val="nil"/>
              <w:bottom w:val="nil"/>
              <w:right w:val="nil"/>
            </w:tcBorders>
            <w:noWrap/>
            <w:hideMark/>
          </w:tcPr>
          <w:p w14:paraId="6AEC4659"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-0.0135 </w:t>
            </w:r>
          </w:p>
          <w:p w14:paraId="0553AECF"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(-0.0510)</w:t>
            </w:r>
          </w:p>
        </w:tc>
      </w:tr>
      <w:tr w:rsidR="008061A3" w:rsidRPr="008872DE" w14:paraId="67841175" w14:textId="77777777" w:rsidTr="008F7D7C">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833" w:type="dxa"/>
            <w:tcBorders>
              <w:left w:val="nil"/>
              <w:right w:val="nil"/>
            </w:tcBorders>
            <w:noWrap/>
            <w:hideMark/>
          </w:tcPr>
          <w:p w14:paraId="4028ED05"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FDI</w:t>
            </w:r>
          </w:p>
        </w:tc>
        <w:tc>
          <w:tcPr>
            <w:tcW w:w="1593" w:type="dxa"/>
            <w:tcBorders>
              <w:left w:val="nil"/>
              <w:right w:val="nil"/>
            </w:tcBorders>
            <w:hideMark/>
          </w:tcPr>
          <w:p w14:paraId="7D19A95C"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0.0200 </w:t>
            </w:r>
          </w:p>
          <w:p w14:paraId="5C8338BD"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(0.0204)</w:t>
            </w:r>
          </w:p>
        </w:tc>
        <w:tc>
          <w:tcPr>
            <w:tcW w:w="1593" w:type="dxa"/>
            <w:tcBorders>
              <w:left w:val="nil"/>
              <w:right w:val="nil"/>
            </w:tcBorders>
            <w:noWrap/>
            <w:hideMark/>
          </w:tcPr>
          <w:p w14:paraId="3124907D"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-0.0169 </w:t>
            </w:r>
          </w:p>
          <w:p w14:paraId="62C7DF7A"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(-0.196)</w:t>
            </w:r>
          </w:p>
        </w:tc>
        <w:tc>
          <w:tcPr>
            <w:tcW w:w="1732" w:type="dxa"/>
            <w:tcBorders>
              <w:left w:val="nil"/>
              <w:right w:val="nil"/>
            </w:tcBorders>
            <w:noWrap/>
            <w:hideMark/>
          </w:tcPr>
          <w:p w14:paraId="28D543E2"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0.0455 </w:t>
            </w:r>
          </w:p>
          <w:p w14:paraId="1899F28C"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(0.0494)</w:t>
            </w:r>
          </w:p>
        </w:tc>
        <w:tc>
          <w:tcPr>
            <w:tcW w:w="1386" w:type="dxa"/>
            <w:tcBorders>
              <w:left w:val="nil"/>
              <w:right w:val="nil"/>
            </w:tcBorders>
            <w:noWrap/>
            <w:hideMark/>
          </w:tcPr>
          <w:p w14:paraId="64FA963C"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-0.0028 </w:t>
            </w:r>
          </w:p>
          <w:p w14:paraId="7C627088"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(-0.0078)</w:t>
            </w:r>
          </w:p>
        </w:tc>
      </w:tr>
      <w:tr w:rsidR="008061A3" w:rsidRPr="008872DE" w14:paraId="6FCF1D99" w14:textId="77777777" w:rsidTr="008F7D7C">
        <w:trPr>
          <w:trHeight w:val="285"/>
        </w:trPr>
        <w:tc>
          <w:tcPr>
            <w:cnfStyle w:val="001000000000" w:firstRow="0" w:lastRow="0" w:firstColumn="1" w:lastColumn="0" w:oddVBand="0" w:evenVBand="0" w:oddHBand="0" w:evenHBand="0" w:firstRowFirstColumn="0" w:firstRowLastColumn="0" w:lastRowFirstColumn="0" w:lastRowLastColumn="0"/>
            <w:tcW w:w="1833" w:type="dxa"/>
            <w:tcBorders>
              <w:top w:val="nil"/>
              <w:left w:val="nil"/>
              <w:bottom w:val="nil"/>
              <w:right w:val="nil"/>
            </w:tcBorders>
            <w:noWrap/>
            <w:hideMark/>
          </w:tcPr>
          <w:p w14:paraId="509E9FAD"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EC</w:t>
            </w:r>
          </w:p>
        </w:tc>
        <w:tc>
          <w:tcPr>
            <w:tcW w:w="1593" w:type="dxa"/>
            <w:tcBorders>
              <w:top w:val="nil"/>
              <w:left w:val="nil"/>
              <w:bottom w:val="nil"/>
              <w:right w:val="nil"/>
            </w:tcBorders>
            <w:hideMark/>
          </w:tcPr>
          <w:p w14:paraId="70609872"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0.0990 </w:t>
            </w:r>
          </w:p>
          <w:p w14:paraId="44C53D22"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(0.1312)</w:t>
            </w:r>
          </w:p>
        </w:tc>
        <w:tc>
          <w:tcPr>
            <w:tcW w:w="1593" w:type="dxa"/>
            <w:tcBorders>
              <w:top w:val="nil"/>
              <w:left w:val="nil"/>
              <w:bottom w:val="nil"/>
              <w:right w:val="nil"/>
            </w:tcBorders>
            <w:noWrap/>
            <w:hideMark/>
          </w:tcPr>
          <w:p w14:paraId="5DC71498"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0.0590 </w:t>
            </w:r>
          </w:p>
          <w:p w14:paraId="396E03DB"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(0.0343)</w:t>
            </w:r>
          </w:p>
        </w:tc>
        <w:tc>
          <w:tcPr>
            <w:tcW w:w="1732" w:type="dxa"/>
            <w:tcBorders>
              <w:top w:val="nil"/>
              <w:left w:val="nil"/>
              <w:bottom w:val="nil"/>
              <w:right w:val="nil"/>
            </w:tcBorders>
            <w:noWrap/>
            <w:hideMark/>
          </w:tcPr>
          <w:p w14:paraId="4C96ACF8"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0.2516 </w:t>
            </w:r>
          </w:p>
          <w:p w14:paraId="4B7679B7"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(0.1904)</w:t>
            </w:r>
          </w:p>
        </w:tc>
        <w:tc>
          <w:tcPr>
            <w:tcW w:w="1386" w:type="dxa"/>
            <w:tcBorders>
              <w:top w:val="nil"/>
              <w:left w:val="nil"/>
              <w:bottom w:val="nil"/>
              <w:right w:val="nil"/>
            </w:tcBorders>
            <w:noWrap/>
            <w:hideMark/>
          </w:tcPr>
          <w:p w14:paraId="1B28303C"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0.0776*** (0.0178)</w:t>
            </w:r>
          </w:p>
        </w:tc>
      </w:tr>
      <w:tr w:rsidR="008061A3" w:rsidRPr="008872DE" w14:paraId="2870883C" w14:textId="77777777" w:rsidTr="008F7D7C">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833" w:type="dxa"/>
            <w:tcBorders>
              <w:left w:val="nil"/>
              <w:right w:val="nil"/>
            </w:tcBorders>
            <w:noWrap/>
            <w:hideMark/>
          </w:tcPr>
          <w:p w14:paraId="77AF726F"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POPN</w:t>
            </w:r>
          </w:p>
        </w:tc>
        <w:tc>
          <w:tcPr>
            <w:tcW w:w="1593" w:type="dxa"/>
            <w:tcBorders>
              <w:left w:val="nil"/>
              <w:right w:val="nil"/>
            </w:tcBorders>
            <w:hideMark/>
          </w:tcPr>
          <w:p w14:paraId="20C61645"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0.1247 </w:t>
            </w:r>
          </w:p>
          <w:p w14:paraId="6A5117FA"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(0.1425)</w:t>
            </w:r>
          </w:p>
        </w:tc>
        <w:tc>
          <w:tcPr>
            <w:tcW w:w="1593" w:type="dxa"/>
            <w:tcBorders>
              <w:left w:val="nil"/>
              <w:right w:val="nil"/>
            </w:tcBorders>
            <w:noWrap/>
            <w:hideMark/>
          </w:tcPr>
          <w:p w14:paraId="4634F36B"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0.1469. </w:t>
            </w:r>
          </w:p>
          <w:p w14:paraId="4411B387" w14:textId="24B4C6A2"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(0.0709)</w:t>
            </w:r>
          </w:p>
        </w:tc>
        <w:tc>
          <w:tcPr>
            <w:tcW w:w="1732" w:type="dxa"/>
            <w:tcBorders>
              <w:left w:val="nil"/>
              <w:right w:val="nil"/>
            </w:tcBorders>
            <w:noWrap/>
            <w:hideMark/>
          </w:tcPr>
          <w:p w14:paraId="7621167C"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-0.0834 </w:t>
            </w:r>
          </w:p>
          <w:p w14:paraId="6E688815"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(-0.2254)</w:t>
            </w:r>
          </w:p>
        </w:tc>
        <w:tc>
          <w:tcPr>
            <w:tcW w:w="1386" w:type="dxa"/>
            <w:tcBorders>
              <w:left w:val="nil"/>
              <w:right w:val="nil"/>
            </w:tcBorders>
            <w:noWrap/>
            <w:hideMark/>
          </w:tcPr>
          <w:p w14:paraId="3B398358"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0.1163 (0.0972)</w:t>
            </w:r>
          </w:p>
        </w:tc>
      </w:tr>
      <w:tr w:rsidR="008061A3" w:rsidRPr="008872DE" w14:paraId="42D0F3DA" w14:textId="77777777" w:rsidTr="008F7D7C">
        <w:trPr>
          <w:trHeight w:val="285"/>
        </w:trPr>
        <w:tc>
          <w:tcPr>
            <w:cnfStyle w:val="001000000000" w:firstRow="0" w:lastRow="0" w:firstColumn="1" w:lastColumn="0" w:oddVBand="0" w:evenVBand="0" w:oddHBand="0" w:evenHBand="0" w:firstRowFirstColumn="0" w:firstRowLastColumn="0" w:lastRowFirstColumn="0" w:lastRowLastColumn="0"/>
            <w:tcW w:w="1833" w:type="dxa"/>
            <w:tcBorders>
              <w:top w:val="nil"/>
              <w:left w:val="nil"/>
              <w:bottom w:val="nil"/>
              <w:right w:val="nil"/>
            </w:tcBorders>
            <w:noWrap/>
            <w:hideMark/>
          </w:tcPr>
          <w:p w14:paraId="0027214B"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IS</w:t>
            </w:r>
          </w:p>
        </w:tc>
        <w:tc>
          <w:tcPr>
            <w:tcW w:w="1593" w:type="dxa"/>
            <w:tcBorders>
              <w:top w:val="nil"/>
              <w:left w:val="nil"/>
              <w:bottom w:val="nil"/>
              <w:right w:val="nil"/>
            </w:tcBorders>
            <w:hideMark/>
          </w:tcPr>
          <w:p w14:paraId="7834F643"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0.4049 </w:t>
            </w:r>
          </w:p>
          <w:p w14:paraId="22D85524"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(0.1312)</w:t>
            </w:r>
          </w:p>
        </w:tc>
        <w:tc>
          <w:tcPr>
            <w:tcW w:w="1593" w:type="dxa"/>
            <w:tcBorders>
              <w:top w:val="nil"/>
              <w:left w:val="nil"/>
              <w:bottom w:val="nil"/>
              <w:right w:val="nil"/>
            </w:tcBorders>
            <w:noWrap/>
            <w:hideMark/>
          </w:tcPr>
          <w:p w14:paraId="6046FE0C"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-0.8365 </w:t>
            </w:r>
          </w:p>
          <w:p w14:paraId="1E8D0680"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(-2.221)</w:t>
            </w:r>
          </w:p>
        </w:tc>
        <w:tc>
          <w:tcPr>
            <w:tcW w:w="1732" w:type="dxa"/>
            <w:tcBorders>
              <w:top w:val="nil"/>
              <w:left w:val="nil"/>
              <w:bottom w:val="nil"/>
              <w:right w:val="nil"/>
            </w:tcBorders>
            <w:noWrap/>
            <w:hideMark/>
          </w:tcPr>
          <w:p w14:paraId="233F24CF"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 xml:space="preserve">-2.773 </w:t>
            </w:r>
          </w:p>
          <w:p w14:paraId="4873D78A"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(-2.555)</w:t>
            </w:r>
          </w:p>
        </w:tc>
        <w:tc>
          <w:tcPr>
            <w:tcW w:w="1386" w:type="dxa"/>
            <w:tcBorders>
              <w:top w:val="nil"/>
              <w:left w:val="nil"/>
              <w:bottom w:val="nil"/>
              <w:right w:val="nil"/>
            </w:tcBorders>
            <w:noWrap/>
            <w:hideMark/>
          </w:tcPr>
          <w:p w14:paraId="1F20A7C5"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0.3929 (0.4418)</w:t>
            </w:r>
          </w:p>
        </w:tc>
      </w:tr>
      <w:tr w:rsidR="008061A3" w:rsidRPr="008872DE" w14:paraId="1B539DEA" w14:textId="77777777" w:rsidTr="008F7D7C">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833" w:type="dxa"/>
            <w:tcBorders>
              <w:left w:val="nil"/>
              <w:right w:val="nil"/>
            </w:tcBorders>
            <w:noWrap/>
            <w:hideMark/>
          </w:tcPr>
          <w:p w14:paraId="6527D061"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Province FE</w:t>
            </w:r>
          </w:p>
        </w:tc>
        <w:tc>
          <w:tcPr>
            <w:tcW w:w="1593" w:type="dxa"/>
            <w:tcBorders>
              <w:left w:val="nil"/>
              <w:right w:val="nil"/>
            </w:tcBorders>
            <w:hideMark/>
          </w:tcPr>
          <w:p w14:paraId="4371FF71"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593" w:type="dxa"/>
            <w:tcBorders>
              <w:left w:val="nil"/>
              <w:right w:val="nil"/>
            </w:tcBorders>
            <w:noWrap/>
            <w:hideMark/>
          </w:tcPr>
          <w:p w14:paraId="0761629A"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732" w:type="dxa"/>
            <w:tcBorders>
              <w:left w:val="nil"/>
              <w:right w:val="nil"/>
            </w:tcBorders>
            <w:noWrap/>
            <w:hideMark/>
          </w:tcPr>
          <w:p w14:paraId="3E106B89"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386" w:type="dxa"/>
            <w:tcBorders>
              <w:left w:val="nil"/>
              <w:right w:val="nil"/>
            </w:tcBorders>
            <w:noWrap/>
            <w:hideMark/>
          </w:tcPr>
          <w:p w14:paraId="16FA4C73"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r>
      <w:tr w:rsidR="008061A3" w:rsidRPr="008872DE" w14:paraId="1AACF876" w14:textId="77777777" w:rsidTr="008F7D7C">
        <w:trPr>
          <w:trHeight w:val="285"/>
        </w:trPr>
        <w:tc>
          <w:tcPr>
            <w:cnfStyle w:val="001000000000" w:firstRow="0" w:lastRow="0" w:firstColumn="1" w:lastColumn="0" w:oddVBand="0" w:evenVBand="0" w:oddHBand="0" w:evenHBand="0" w:firstRowFirstColumn="0" w:firstRowLastColumn="0" w:lastRowFirstColumn="0" w:lastRowLastColumn="0"/>
            <w:tcW w:w="1833" w:type="dxa"/>
            <w:tcBorders>
              <w:top w:val="nil"/>
              <w:left w:val="nil"/>
              <w:bottom w:val="nil"/>
              <w:right w:val="nil"/>
            </w:tcBorders>
            <w:noWrap/>
            <w:hideMark/>
          </w:tcPr>
          <w:p w14:paraId="71DDCE15"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Year FE</w:t>
            </w:r>
          </w:p>
        </w:tc>
        <w:tc>
          <w:tcPr>
            <w:tcW w:w="1593" w:type="dxa"/>
            <w:tcBorders>
              <w:top w:val="nil"/>
              <w:left w:val="nil"/>
              <w:bottom w:val="nil"/>
              <w:right w:val="nil"/>
            </w:tcBorders>
            <w:hideMark/>
          </w:tcPr>
          <w:p w14:paraId="6537DEAF"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593" w:type="dxa"/>
            <w:tcBorders>
              <w:top w:val="nil"/>
              <w:left w:val="nil"/>
              <w:bottom w:val="nil"/>
              <w:right w:val="nil"/>
            </w:tcBorders>
            <w:noWrap/>
            <w:hideMark/>
          </w:tcPr>
          <w:p w14:paraId="2B66BE83"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732" w:type="dxa"/>
            <w:tcBorders>
              <w:top w:val="nil"/>
              <w:left w:val="nil"/>
              <w:bottom w:val="nil"/>
              <w:right w:val="nil"/>
            </w:tcBorders>
            <w:noWrap/>
            <w:hideMark/>
          </w:tcPr>
          <w:p w14:paraId="1FA76063"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c>
          <w:tcPr>
            <w:tcW w:w="1386" w:type="dxa"/>
            <w:tcBorders>
              <w:top w:val="nil"/>
              <w:left w:val="nil"/>
              <w:bottom w:val="nil"/>
              <w:right w:val="nil"/>
            </w:tcBorders>
            <w:noWrap/>
            <w:hideMark/>
          </w:tcPr>
          <w:p w14:paraId="732983AA"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Yes</w:t>
            </w:r>
          </w:p>
        </w:tc>
      </w:tr>
      <w:tr w:rsidR="008061A3" w:rsidRPr="008872DE" w14:paraId="0B66BE2C" w14:textId="77777777" w:rsidTr="008F7D7C">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833" w:type="dxa"/>
            <w:tcBorders>
              <w:left w:val="nil"/>
              <w:right w:val="nil"/>
            </w:tcBorders>
            <w:noWrap/>
            <w:hideMark/>
          </w:tcPr>
          <w:p w14:paraId="78C48953"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N</w:t>
            </w:r>
          </w:p>
        </w:tc>
        <w:tc>
          <w:tcPr>
            <w:tcW w:w="1593" w:type="dxa"/>
            <w:tcBorders>
              <w:left w:val="nil"/>
              <w:right w:val="nil"/>
            </w:tcBorders>
            <w:hideMark/>
          </w:tcPr>
          <w:p w14:paraId="26D539C7"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180</w:t>
            </w:r>
          </w:p>
        </w:tc>
        <w:tc>
          <w:tcPr>
            <w:tcW w:w="1593" w:type="dxa"/>
            <w:tcBorders>
              <w:left w:val="nil"/>
              <w:right w:val="nil"/>
            </w:tcBorders>
            <w:noWrap/>
            <w:hideMark/>
          </w:tcPr>
          <w:p w14:paraId="5D164E40"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180</w:t>
            </w:r>
          </w:p>
        </w:tc>
        <w:tc>
          <w:tcPr>
            <w:tcW w:w="1732" w:type="dxa"/>
            <w:tcBorders>
              <w:left w:val="nil"/>
              <w:right w:val="nil"/>
            </w:tcBorders>
            <w:noWrap/>
            <w:hideMark/>
          </w:tcPr>
          <w:p w14:paraId="3BC4C79D"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180</w:t>
            </w:r>
          </w:p>
        </w:tc>
        <w:tc>
          <w:tcPr>
            <w:tcW w:w="1386" w:type="dxa"/>
            <w:tcBorders>
              <w:left w:val="nil"/>
              <w:right w:val="nil"/>
            </w:tcBorders>
            <w:noWrap/>
            <w:hideMark/>
          </w:tcPr>
          <w:p w14:paraId="072AAE20" w14:textId="77777777" w:rsidR="008061A3" w:rsidRPr="008872DE" w:rsidRDefault="008061A3" w:rsidP="008F7D7C">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180</w:t>
            </w:r>
          </w:p>
        </w:tc>
      </w:tr>
      <w:tr w:rsidR="008061A3" w:rsidRPr="008872DE" w14:paraId="3DE94AE1" w14:textId="77777777" w:rsidTr="008F7D7C">
        <w:trPr>
          <w:trHeight w:val="285"/>
        </w:trPr>
        <w:tc>
          <w:tcPr>
            <w:cnfStyle w:val="001000000000" w:firstRow="0" w:lastRow="0" w:firstColumn="1" w:lastColumn="0" w:oddVBand="0" w:evenVBand="0" w:oddHBand="0" w:evenHBand="0" w:firstRowFirstColumn="0" w:firstRowLastColumn="0" w:lastRowFirstColumn="0" w:lastRowLastColumn="0"/>
            <w:tcW w:w="1833" w:type="dxa"/>
            <w:tcBorders>
              <w:top w:val="nil"/>
              <w:left w:val="nil"/>
              <w:bottom w:val="single" w:sz="4" w:space="0" w:color="7F7F7F" w:themeColor="text1" w:themeTint="80"/>
              <w:right w:val="nil"/>
            </w:tcBorders>
            <w:noWrap/>
            <w:hideMark/>
          </w:tcPr>
          <w:p w14:paraId="7F9A4877" w14:textId="77777777" w:rsidR="008061A3" w:rsidRPr="008872DE" w:rsidRDefault="008061A3" w:rsidP="008F7D7C">
            <w:pPr>
              <w:autoSpaceDE w:val="0"/>
              <w:autoSpaceDN w:val="0"/>
              <w:adjustRightInd w:val="0"/>
              <w:rPr>
                <w:rFonts w:ascii="Times New Roman" w:eastAsia="CMR12" w:hAnsi="Times New Roman" w:cs="Times New Roman"/>
                <w:b w:val="0"/>
                <w:bCs w:val="0"/>
              </w:rPr>
            </w:pPr>
            <w:r w:rsidRPr="008872DE">
              <w:rPr>
                <w:rFonts w:ascii="Times New Roman" w:eastAsia="CMR12" w:hAnsi="Times New Roman" w:cs="Times New Roman"/>
                <w:b w:val="0"/>
                <w:bCs w:val="0"/>
              </w:rPr>
              <w:t>R²</w:t>
            </w:r>
          </w:p>
        </w:tc>
        <w:tc>
          <w:tcPr>
            <w:tcW w:w="1593" w:type="dxa"/>
            <w:tcBorders>
              <w:top w:val="nil"/>
              <w:left w:val="nil"/>
              <w:bottom w:val="single" w:sz="4" w:space="0" w:color="7F7F7F" w:themeColor="text1" w:themeTint="80"/>
              <w:right w:val="nil"/>
            </w:tcBorders>
            <w:hideMark/>
          </w:tcPr>
          <w:p w14:paraId="5CDAFD0F"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0.7267</w:t>
            </w:r>
          </w:p>
        </w:tc>
        <w:tc>
          <w:tcPr>
            <w:tcW w:w="1593" w:type="dxa"/>
            <w:tcBorders>
              <w:top w:val="nil"/>
              <w:left w:val="nil"/>
              <w:bottom w:val="single" w:sz="4" w:space="0" w:color="7F7F7F" w:themeColor="text1" w:themeTint="80"/>
              <w:right w:val="nil"/>
            </w:tcBorders>
            <w:noWrap/>
            <w:hideMark/>
          </w:tcPr>
          <w:p w14:paraId="582AFDCB"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0.6391</w:t>
            </w:r>
          </w:p>
        </w:tc>
        <w:tc>
          <w:tcPr>
            <w:tcW w:w="1732" w:type="dxa"/>
            <w:tcBorders>
              <w:top w:val="nil"/>
              <w:left w:val="nil"/>
              <w:bottom w:val="single" w:sz="4" w:space="0" w:color="7F7F7F" w:themeColor="text1" w:themeTint="80"/>
              <w:right w:val="nil"/>
            </w:tcBorders>
            <w:noWrap/>
            <w:hideMark/>
          </w:tcPr>
          <w:p w14:paraId="04572A51"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0.6864</w:t>
            </w:r>
          </w:p>
        </w:tc>
        <w:tc>
          <w:tcPr>
            <w:tcW w:w="1386" w:type="dxa"/>
            <w:tcBorders>
              <w:top w:val="nil"/>
              <w:left w:val="nil"/>
              <w:bottom w:val="single" w:sz="4" w:space="0" w:color="7F7F7F" w:themeColor="text1" w:themeTint="80"/>
              <w:right w:val="nil"/>
            </w:tcBorders>
            <w:noWrap/>
            <w:hideMark/>
          </w:tcPr>
          <w:p w14:paraId="1EFF298A" w14:textId="77777777" w:rsidR="008061A3" w:rsidRPr="008872DE" w:rsidRDefault="008061A3" w:rsidP="008F7D7C">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eastAsia="CMR12" w:hAnsi="Times New Roman" w:cs="Times New Roman"/>
              </w:rPr>
            </w:pPr>
            <w:r w:rsidRPr="008872DE">
              <w:rPr>
                <w:rFonts w:ascii="Times New Roman" w:eastAsia="CMR12" w:hAnsi="Times New Roman" w:cs="Times New Roman"/>
              </w:rPr>
              <w:t>0.8237</w:t>
            </w:r>
          </w:p>
        </w:tc>
      </w:tr>
    </w:tbl>
    <w:p w14:paraId="39EA78F9" w14:textId="77777777" w:rsidR="008061A3" w:rsidRDefault="008061A3" w:rsidP="008061A3">
      <w:pPr>
        <w:autoSpaceDE w:val="0"/>
        <w:autoSpaceDN w:val="0"/>
        <w:adjustRightInd w:val="0"/>
        <w:rPr>
          <w:rFonts w:eastAsia="CMR12"/>
          <w:sz w:val="20"/>
          <w:szCs w:val="20"/>
        </w:rPr>
      </w:pPr>
      <w:r w:rsidRPr="0031513B">
        <w:rPr>
          <w:rFonts w:eastAsia="CMR12"/>
          <w:sz w:val="20"/>
          <w:szCs w:val="20"/>
        </w:rPr>
        <w:lastRenderedPageBreak/>
        <w:t>Robust standard errors clustered by province parentheses, and values ***, **, *</w:t>
      </w:r>
      <w:proofErr w:type="gramStart"/>
      <w:r w:rsidRPr="0031513B">
        <w:rPr>
          <w:rFonts w:eastAsia="CMR12"/>
          <w:sz w:val="20"/>
          <w:szCs w:val="20"/>
        </w:rPr>
        <w:t>, .</w:t>
      </w:r>
      <w:proofErr w:type="gramEnd"/>
      <w:r w:rsidRPr="0031513B">
        <w:rPr>
          <w:rFonts w:eastAsia="CMR12"/>
          <w:sz w:val="20"/>
          <w:szCs w:val="20"/>
        </w:rPr>
        <w:t>, indicate 0.1%, 1%, 5%, and 10% significant levels, respectively. FE and N are the abbreviations for Fixed effects and number of observations, respectively.</w:t>
      </w:r>
    </w:p>
    <w:p w14:paraId="38F3DED8" w14:textId="77777777" w:rsidR="008061A3" w:rsidRDefault="008061A3" w:rsidP="00E12BAC">
      <w:pPr>
        <w:spacing w:line="240" w:lineRule="auto"/>
      </w:pPr>
    </w:p>
    <w:p w14:paraId="54D72879" w14:textId="77777777" w:rsidR="0021546A" w:rsidRPr="00F13F17" w:rsidRDefault="0021546A" w:rsidP="00E12BAC">
      <w:pPr>
        <w:spacing w:line="240" w:lineRule="auto"/>
        <w:rPr>
          <w:b/>
        </w:rPr>
      </w:pPr>
    </w:p>
    <w:p w14:paraId="5D38921B" w14:textId="580B848C" w:rsidR="002358C6" w:rsidRPr="008061A3" w:rsidRDefault="008061A3" w:rsidP="008061A3">
      <w:pPr>
        <w:pStyle w:val="Heading1"/>
        <w:rPr>
          <w:b/>
          <w:bCs/>
          <w:i w:val="0"/>
          <w:iCs w:val="0"/>
        </w:rPr>
      </w:pPr>
      <w:r w:rsidRPr="008061A3">
        <w:rPr>
          <w:b/>
          <w:bCs/>
          <w:i w:val="0"/>
          <w:iCs w:val="0"/>
        </w:rPr>
        <w:t xml:space="preserve">5. </w:t>
      </w:r>
      <w:r w:rsidR="0023649F" w:rsidRPr="008061A3">
        <w:rPr>
          <w:b/>
          <w:bCs/>
          <w:i w:val="0"/>
          <w:iCs w:val="0"/>
        </w:rPr>
        <w:t>DISCUSSION</w:t>
      </w:r>
    </w:p>
    <w:p w14:paraId="583EA529" w14:textId="77777777" w:rsidR="002358C6" w:rsidRDefault="002358C6" w:rsidP="00E12BAC">
      <w:pPr>
        <w:spacing w:line="240" w:lineRule="auto"/>
      </w:pPr>
    </w:p>
    <w:p w14:paraId="08A6DE3E" w14:textId="77777777" w:rsidR="008061A3" w:rsidRPr="00046F57" w:rsidRDefault="008061A3" w:rsidP="008061A3">
      <w:pPr>
        <w:pStyle w:val="Paragraph"/>
        <w:jc w:val="both"/>
        <w:rPr>
          <w:rFonts w:eastAsia="CMR12"/>
        </w:rPr>
      </w:pPr>
      <w:r w:rsidRPr="00046F57">
        <w:rPr>
          <w:rFonts w:eastAsia="CMR12"/>
        </w:rPr>
        <w:t>This study provides a nuanced examination of the CETS pilot policy’s impact on Total Factor Power Generation Efficiency (TFPGE) in China’s coal-fired power sector, revealing several key insights that advance both theoretical and practical understanding in environmental planning and management.</w:t>
      </w:r>
    </w:p>
    <w:p w14:paraId="04A89C36" w14:textId="77777777" w:rsidR="008061A3" w:rsidRPr="00046F57" w:rsidRDefault="008061A3" w:rsidP="008061A3">
      <w:pPr>
        <w:pStyle w:val="Newparagraph"/>
        <w:jc w:val="both"/>
        <w:rPr>
          <w:rFonts w:eastAsia="CMR12"/>
        </w:rPr>
      </w:pPr>
      <w:r w:rsidRPr="00046F57">
        <w:rPr>
          <w:rFonts w:eastAsia="CMR12"/>
        </w:rPr>
        <w:t xml:space="preserve">First, the CETS pilot policy significantly enhances TFPGE, yielding an average increase of 2.90% across China’s provincial coal-fired power sector. This finding aligns with prior studies </w:t>
      </w:r>
      <w:r w:rsidRPr="00046F57">
        <w:rPr>
          <w:rFonts w:eastAsia="STIX-Regular"/>
          <w14:ligatures w14:val="standardContextual"/>
        </w:rPr>
        <w:fldChar w:fldCharType="begin"/>
      </w:r>
      <w:r w:rsidRPr="00046F57">
        <w:rPr>
          <w:rFonts w:eastAsia="STIX-Regular"/>
          <w14:ligatures w14:val="standardContextual"/>
        </w:rPr>
        <w:instrText xml:space="preserve"> ADDIN ZOTERO_ITEM CSL_CITATION {"citationID":"1lgRvNU7","properties":{"formattedCitation":"(Cao et al., 2021; Q. Wu et al., 2023)","plainCitation":"(Cao et al., 2021; Q. Wu et al., 2023)","noteIndex":0},"citationItems":[{"id":352,"uris":["http://zotero.org/users/local/wH06Ygim/items/5BAFB2HY"],"itemData":{"id":352,"type":"article-journal","container-title":"Journal of Public Economics","DOI":"10.1016/j.jpubeco.2021.104470","ISSN":"00472727","journalAbbreviation":"Journal of Public Economics","language":"en","page":"104470","source":"DOI.org (Crossref)","title":"When carbon emission trading meets a regulated industry: Evidence from the electricity sector of China","title-short":"When carbon emission trading meets a regulated industry","volume":"200","author":[{"family":"Cao","given":"Jing"},{"family":"Ho","given":"Mun S."},{"family":"Ma","given":"Rong"},{"family":"Teng","given":"Fei"}],"issued":{"date-parts":[["2021",8]]}}},{"id":383,"uris":["http://zotero.org/users/local/wH06Ygim/items/NXKM3GBH"],"itemData":{"id":383,"type":"article-journal","container-title":"Energy Policy","DOI":"10.1016/j.enpol.2023.113524","ISSN":"03014215","journalAbbreviation":"Energy Policy","language":"en","page":"113524","source":"DOI.org (Crossref)","title":"How carbon emission prices accelerate net zero: Evidence from China's coal-fired power plants","title-short":"How carbon emission prices accelerate net zero","volume":"177","author":[{"family":"Wu","given":"Qingyang"},{"family":"Tan","given":"Chang"},{"family":"Wang","given":"Daoping"},{"family":"Wu","given":"Yongtao"},{"family":"Meng","given":"Jing"},{"family":"Zheng","given":"Heran"}],"issued":{"date-parts":[["2023",6]]}}}],"schema":"https://github.com/citation-style-language/schema/raw/master/csl-citation.json"} </w:instrText>
      </w:r>
      <w:r w:rsidRPr="00046F57">
        <w:rPr>
          <w:rFonts w:eastAsia="STIX-Regular"/>
          <w14:ligatures w14:val="standardContextual"/>
        </w:rPr>
        <w:fldChar w:fldCharType="separate"/>
      </w:r>
      <w:r w:rsidRPr="00046F57">
        <w:rPr>
          <w:rFonts w:eastAsia="STIX-Regular"/>
        </w:rPr>
        <w:t>(Cao et al., 2021; Q. Wu et al., 2023)</w:t>
      </w:r>
      <w:r w:rsidRPr="00046F57">
        <w:rPr>
          <w:rFonts w:eastAsia="STIX-Regular"/>
          <w14:ligatures w14:val="standardContextual"/>
        </w:rPr>
        <w:fldChar w:fldCharType="end"/>
      </w:r>
      <w:r w:rsidRPr="00046F57">
        <w:rPr>
          <w:rFonts w:eastAsia="CMR12"/>
        </w:rPr>
        <w:t>, which suggest that carbon pricing mechanisms impose mandatory constraints that drive efficiency gains. However, our study extends this understanding by focusing on the coal-fired power sector—a critical yet understudied area given its dominant role in China’s energy mix and emissions profile. The 2.90% TFPGE increase reflects how CETS promotes resource commitment towards environmentally-friendly production practices and thus incentivizing coal-fired power enterprises to invest in low-carbon technologies, such as advanced combustion systems, which improve production processes and reduce emissions. This result underscores the policy’s potential as a tool for balancing energy security with environmental sustainability, particularly in a sector historically resistant to change due to its reliance on coal.</w:t>
      </w:r>
    </w:p>
    <w:p w14:paraId="537D731F" w14:textId="77777777" w:rsidR="008061A3" w:rsidRPr="00046F57" w:rsidRDefault="008061A3" w:rsidP="008061A3">
      <w:pPr>
        <w:pStyle w:val="Newparagraph"/>
        <w:jc w:val="both"/>
        <w:rPr>
          <w:rFonts w:eastAsia="STIX-Regular"/>
        </w:rPr>
      </w:pPr>
      <w:r w:rsidRPr="00046F57">
        <w:rPr>
          <w:rFonts w:eastAsia="STIX-Regular"/>
        </w:rPr>
        <w:t xml:space="preserve">Second, the CETS’s impact on TFPGE exhibits significant regional heterogeneity, with the western and eastern provinces experiencing greater efficiency gains (2.9% and 2.5%, respectively) compared to the central region (1.7%). This disparity highlights the role of regional economic and </w:t>
      </w:r>
      <w:r w:rsidRPr="00046F57">
        <w:rPr>
          <w:rFonts w:eastAsia="STIX-Regular"/>
        </w:rPr>
        <w:lastRenderedPageBreak/>
        <w:t xml:space="preserve">industrial contexts in shaping policy outcomes. In the eastern region, where coal supports rapid economic growth, CETS likely amplifies efficiency gains by pushing firms to adopt cleaner technologies to meet stringent emission targets. In the western region, despite lower energy consumption, limited technological innovation creates a higher marginal benefit from CETS-driven upgrades, as firms transition from outdated infrastructure. Conversely, the central region’s lower TFPGE gains (1.7%) may stem from structural challenges, such as reliance on less efficient subcritical plants, slower adoption of advanced technologies, and weaker policy enforcement due to competing industrial priorities. These findings build on prior research, e.g., </w:t>
      </w:r>
      <w:r w:rsidRPr="00046F57">
        <w:rPr>
          <w:rFonts w:eastAsia="STIX-Regular"/>
        </w:rPr>
        <w:fldChar w:fldCharType="begin"/>
      </w:r>
      <w:r w:rsidRPr="00046F57">
        <w:rPr>
          <w:rFonts w:eastAsia="STIX-Regular"/>
        </w:rPr>
        <w:instrText xml:space="preserve"> ADDIN ZOTERO_ITEM CSL_CITATION {"citationID":"8pN2f4Tr","properties":{"formattedCitation":"(Yu et al., 2024)","plainCitation":"(Yu et al., 2024)","noteIndex":0},"citationItems":[{"id":515,"uris":["http://zotero.org/users/local/wH06Ygim/items/XBVHXJ7K"],"itemData":{"id":515,"type":"article-journal","container-title":"Energy","DOI":"10.1016/j.energy.2024.132870","ISSN":"03605442","journalAbbreviation":"Energy","language":"en","page":"132870","source":"DOI.org (Crossref)","title":"Carbon emission trading, carbon efficiency, and the Porter hypothesis: Plant-level evidence from China","title-short":"Carbon emission trading, carbon efficiency, and the Porter hypothesis","volume":"308","author":[{"family":"Yu","given":"Yanni"},{"family":"Zhang","given":"Xinyi"},{"family":"Liu","given":"Yunxiao"},{"family":"Zhou","given":"Tao"}],"issued":{"date-parts":[["2024",11]]}}}],"schema":"https://github.com/citation-style-language/schema/raw/master/csl-citation.json"} </w:instrText>
      </w:r>
      <w:r w:rsidRPr="00046F57">
        <w:rPr>
          <w:rFonts w:eastAsia="STIX-Regular"/>
        </w:rPr>
        <w:fldChar w:fldCharType="separate"/>
      </w:r>
      <w:r w:rsidRPr="00046F57">
        <w:rPr>
          <w:rFonts w:eastAsia="STIX-Regular"/>
        </w:rPr>
        <w:t>(Yu et al., 2024)</w:t>
      </w:r>
      <w:r w:rsidRPr="00046F57">
        <w:rPr>
          <w:rFonts w:eastAsia="STIX-Regular"/>
        </w:rPr>
        <w:fldChar w:fldCharType="end"/>
      </w:r>
      <w:r w:rsidRPr="00046F57">
        <w:rPr>
          <w:rFonts w:eastAsia="STIX-Regular"/>
        </w:rPr>
        <w:t>, by emphasizing the need to account for regional variations in CETS implementation—an aspect often overlooked in studies that treat China’s provinces as a homogeneous unit. This regional lens offers a fresh perspective, addressing a gap in the literature and providing a foundation for more equitable and effective environmental policies.</w:t>
      </w:r>
    </w:p>
    <w:p w14:paraId="0EB64C40" w14:textId="77777777" w:rsidR="008061A3" w:rsidRPr="00046F57" w:rsidRDefault="008061A3" w:rsidP="008061A3">
      <w:pPr>
        <w:pStyle w:val="Newparagraph"/>
        <w:jc w:val="both"/>
        <w:rPr>
          <w:rFonts w:eastAsia="STIX-Regular"/>
        </w:rPr>
      </w:pPr>
      <w:r w:rsidRPr="00046F57">
        <w:rPr>
          <w:rFonts w:eastAsia="STIX-Regular"/>
        </w:rPr>
        <w:t xml:space="preserve">Third, the CETS’s effect on TFPGE varies with the thermal power share in the energy mix, with provinces having a low thermal power share experiencing a 2.6% PGE increase compared to 1.46% in high thermal power share regions. This finding suggests that CETS is more effective in regions with a diversified energy mix, where renewable energy integration facilitates the adoption of cleaner practices. In contrast, high thermal power share regions face structural barriers, such as higher emission reduction costs and limited access to alternative energy sources, which constrain efficiency gains. This result extends the literature by linking energy mix diversity to carbon pricing outcomes, offering a new angle on how industrial structure moderates the CETS-TFPGE relationship. It also provides empirical support for tailoring CETS policies to regional energy profiles, a consideration that adds depth to prior studies, e.g., </w:t>
      </w:r>
      <w:r w:rsidRPr="00046F57">
        <w:rPr>
          <w:rFonts w:eastAsia="STIX-Regular"/>
        </w:rPr>
        <w:fldChar w:fldCharType="begin"/>
      </w:r>
      <w:r w:rsidRPr="00046F57">
        <w:rPr>
          <w:rFonts w:eastAsia="STIX-Regular"/>
        </w:rPr>
        <w:instrText xml:space="preserve"> ADDIN ZOTERO_ITEM CSL_CITATION {"citationID":"flbqkDvV","properties":{"formattedCitation":"(R. Chen et al., 2024)","plainCitation":"(R. Chen et al., 2024)","noteIndex":0},"citationItems":[{"id":752,"uris":["http://zotero.org/users/local/wH06Ygim/items/S2TFFMRQ"],"itemData":{"id":752,"type":"article-journal","container-title":"Energy Economics","DOI":"10.1016/j.eneco.2024.107376","ISSN":"01409883","journalAbbreviation":"Energy Economics","language":"en","page":"107376","source":"DOI.org (Crossref)","title":"The impact of ETS on productivity in developing economies: A micro-econometric evaluation with Chinese firm-level data","title-short":"The impact of ETS on productivity in developing economies","volume":"131","author":[{"family":"Chen","given":"Rushi"},{"family":"Howley","given":"Peter"},{"family":"Kesidou","given":"Effie"}],"issued":{"date-parts":[["2024",3]]}}}],"schema":"https://github.com/citation-style-language/schema/raw/master/csl-citation.json"} </w:instrText>
      </w:r>
      <w:r w:rsidRPr="00046F57">
        <w:rPr>
          <w:rFonts w:eastAsia="STIX-Regular"/>
        </w:rPr>
        <w:fldChar w:fldCharType="separate"/>
      </w:r>
      <w:r w:rsidRPr="00046F57">
        <w:rPr>
          <w:rFonts w:eastAsia="STIX-Regular"/>
        </w:rPr>
        <w:t>(R. Chen et al., 2024)</w:t>
      </w:r>
      <w:r w:rsidRPr="00046F57">
        <w:rPr>
          <w:rFonts w:eastAsia="STIX-Regular"/>
        </w:rPr>
        <w:fldChar w:fldCharType="end"/>
      </w:r>
      <w:r w:rsidRPr="00046F57">
        <w:rPr>
          <w:rFonts w:eastAsia="STIX-Regular"/>
        </w:rPr>
        <w:t>, and informs the design of localized environmental strategies.</w:t>
      </w:r>
    </w:p>
    <w:p w14:paraId="127A4DB4" w14:textId="52CF810C" w:rsidR="008061A3" w:rsidRDefault="008061A3" w:rsidP="008430EF">
      <w:pPr>
        <w:pStyle w:val="Newparagraph"/>
        <w:jc w:val="both"/>
        <w:rPr>
          <w:rFonts w:eastAsia="STIX-Regular"/>
        </w:rPr>
      </w:pPr>
      <w:r w:rsidRPr="00046F57">
        <w:rPr>
          <w:rFonts w:eastAsia="STIX-Regular"/>
        </w:rPr>
        <w:lastRenderedPageBreak/>
        <w:t>Fourth, the CETS enhances TFPGE by promoting environmental resource commitment and fostering clean combustion technology innovation, key mechanisms driving efficiency gains in the coal-fired power sector. Our analysis reveals that the policy increases the firm</w:t>
      </w:r>
      <w:r w:rsidR="003D0A73">
        <w:rPr>
          <w:rFonts w:eastAsia="STIX-Regular"/>
        </w:rPr>
        <w:t>s</w:t>
      </w:r>
      <w:r w:rsidRPr="00046F57">
        <w:rPr>
          <w:rFonts w:eastAsia="STIX-Regular"/>
        </w:rPr>
        <w:t xml:space="preserve">’ willingness to commitment necessary resources for sustainable power generation, encouraging them to adopt technologies like ultra-supercritical combustion systems, which reduce emissions while improving energy efficiency. This finding aligns with Porter’s hypothesis, which posits that environmental regulations can </w:t>
      </w:r>
      <w:r w:rsidR="003D0A73">
        <w:rPr>
          <w:rFonts w:eastAsia="STIX-Regular"/>
        </w:rPr>
        <w:t xml:space="preserve">enhance environmental commitment, </w:t>
      </w:r>
      <w:r w:rsidRPr="00046F57">
        <w:rPr>
          <w:rFonts w:eastAsia="STIX-Regular"/>
        </w:rPr>
        <w:t xml:space="preserve">spur innovation and efficiency, leading to a “win-win” outcome </w:t>
      </w:r>
      <w:r w:rsidRPr="00046F57">
        <w:rPr>
          <w:rFonts w:eastAsia="STIX-Regular"/>
        </w:rPr>
        <w:fldChar w:fldCharType="begin"/>
      </w:r>
      <w:r w:rsidRPr="00046F57">
        <w:rPr>
          <w:rFonts w:eastAsia="STIX-Regular"/>
        </w:rPr>
        <w:instrText xml:space="preserve"> ADDIN ZOTERO_ITEM CSL_CITATION {"citationID":"ngipAbR8","properties":{"formattedCitation":"(Porter &amp; Linde, 1995)","plainCitation":"(Porter &amp; Linde, 1995)","noteIndex":0},"citationItems":[{"id":391,"uris":["http://zotero.org/users/local/wH06Ygim/items/CKY83CJ9"],"itemData":{"id":391,"type":"article-journal","abstract":"Accepting a fixed trade-off between environmental regulation and competitiveness unnecessarily raises costs and slows down environmental progress. Studies finding high environmental compliance costs have traditionally focused on static cost impacts, ignoring any offsetting productivity benefits from innovation. They typically overestimated compliance costs, neglected innovation offsets, and disregarded the affected industry's initial competitiveness. Rather than simply adding to cost, properly crafted environmental standards can trigger innovation offsets, allowing companies to improve their resource productivity. Shifting the debate from pollution control to pollution prevention was a step forward. It is now necessary to make the next step and focus on resource productivity.","container-title":"Journal of Economic Perspectives","DOI":"10.1257/jep.9.4.97","ISSN":"0895-3309","issue":"4","journalAbbreviation":"Journal of Economic Perspectives","language":"en","page":"97-118","source":"DOI.org (Crossref)","title":"Toward a New Conception of the Environment-Competitiveness Relationship","volume":"9","author":[{"family":"Porter","given":"Michael E"},{"family":"Linde","given":"Claas Van Der"}],"issued":{"date-parts":[["1995",11,1]]}}}],"schema":"https://github.com/citation-style-language/schema/raw/master/csl-citation.json"} </w:instrText>
      </w:r>
      <w:r w:rsidRPr="00046F57">
        <w:rPr>
          <w:rFonts w:eastAsia="STIX-Regular"/>
        </w:rPr>
        <w:fldChar w:fldCharType="separate"/>
      </w:r>
      <w:r w:rsidRPr="00046F57">
        <w:rPr>
          <w:rFonts w:eastAsia="STIX-Regular"/>
        </w:rPr>
        <w:t>(Porter &amp; Linde, 1995)</w:t>
      </w:r>
      <w:r w:rsidRPr="00046F57">
        <w:rPr>
          <w:rFonts w:eastAsia="STIX-Regular"/>
        </w:rPr>
        <w:fldChar w:fldCharType="end"/>
      </w:r>
      <w:r w:rsidRPr="00046F57">
        <w:rPr>
          <w:rFonts w:eastAsia="STIX-Regular"/>
        </w:rPr>
        <w:t xml:space="preserve">. Unlike studies such as </w:t>
      </w:r>
      <w:r w:rsidRPr="00046F57">
        <w:fldChar w:fldCharType="begin"/>
      </w:r>
      <w:r w:rsidRPr="00046F57">
        <w:instrText xml:space="preserve"> ADDIN ZOTERO_ITEM CSL_CITATION {"citationID":"ABlaGcP6","properties":{"formattedCitation":"(Tang et al., 2023)","plainCitation":"(Tang et al., 2023)","noteIndex":0},"citationItems":[{"id":774,"uris":["http://zotero.org/users/local/wH06Ygim/items/3RW25MJD"],"itemData":{"id":774,"type":"article-journal","container-title":"Energy Policy","DOI":"10.1016/j.enpol.2022.113412","ISSN":"03014215","journalAbbreviation":"Energy Policy","language":"en","page":"113412","source":"DOI.org (Crossref)","title":"Ultra-low emission standards and corporate production performance: Evidence from Chinese thermal power companies","title-short":"Ultra-low emission standards and corporate production performance","volume":"173","author":[{"family":"Tang","given":"Chang"},{"family":"Qi","given":"Yu"},{"family":"Khan","given":"Naqib Ullah"},{"family":"Tang","given":"Ruwei"},{"family":"Xue","given":"Yan"}],"issued":{"date-parts":[["2023",2]]}}}],"schema":"https://github.com/citation-style-language/schema/raw/master/csl-citation.json"} </w:instrText>
      </w:r>
      <w:r w:rsidRPr="00046F57">
        <w:fldChar w:fldCharType="separate"/>
      </w:r>
      <w:r w:rsidRPr="00046F57">
        <w:t>(Tang et al., 2023)</w:t>
      </w:r>
      <w:r w:rsidRPr="00046F57">
        <w:fldChar w:fldCharType="end"/>
      </w:r>
      <w:r w:rsidRPr="00046F57">
        <w:t xml:space="preserve"> and </w:t>
      </w:r>
      <w:r w:rsidRPr="00046F57">
        <w:fldChar w:fldCharType="begin"/>
      </w:r>
      <w:r w:rsidRPr="00046F57">
        <w:instrText xml:space="preserve"> ADDIN ZOTERO_ITEM CSL_CITATION {"citationID":"XmURpZDp","properties":{"formattedCitation":"(X. Meng &amp; Yu, 2023)","plainCitation":"(X. Meng &amp; Yu, 2023)","noteIndex":0},"citationItems":[{"id":244,"uris":["http://zotero.org/users/local/wH06Ygim/items/ZZEU9KAZ"],"itemData":{"id":244,"type":"article-journal","container-title":"Energy Policy","DOI":"10.1016/j.enpol.2023.113461","ISSN":"03014215","journalAbbreviation":"Energy Policy","language":"en","page":"113461","source":"DOI.org (Crossref)","title":"Can renewable energy portfolio standards and carbon tax policies promote carbon emission reduction in China's power industry?","volume":"174","author":[{"family":"Meng","given":"Xin"},{"family":"Yu","given":"Yanni"}],"issued":{"date-parts":[["2023",3]]}}}],"schema":"https://github.com/citation-style-language/schema/raw/master/csl-citation.json"} </w:instrText>
      </w:r>
      <w:r w:rsidRPr="00046F57">
        <w:fldChar w:fldCharType="separate"/>
      </w:r>
      <w:r w:rsidRPr="00046F57">
        <w:t>(X. Meng &amp; Yu, 2023)</w:t>
      </w:r>
      <w:r w:rsidRPr="00046F57">
        <w:fldChar w:fldCharType="end"/>
      </w:r>
      <w:r w:rsidRPr="00046F57">
        <w:t xml:space="preserve">, </w:t>
      </w:r>
      <w:r w:rsidRPr="00046F57">
        <w:rPr>
          <w:rFonts w:eastAsia="STIX-Regular"/>
        </w:rPr>
        <w:t xml:space="preserve">which argue that environmental regulations may stifle innovation due to compliance costs, our results demonstrate that CETS promotes environmental </w:t>
      </w:r>
      <w:r w:rsidR="003D0A73">
        <w:rPr>
          <w:rFonts w:eastAsia="STIX-Regular"/>
        </w:rPr>
        <w:t>commitment</w:t>
      </w:r>
      <w:r w:rsidRPr="00046F57">
        <w:rPr>
          <w:rFonts w:eastAsia="STIX-Regular"/>
        </w:rPr>
        <w:t xml:space="preserve"> and drives technological advancements in the coal</w:t>
      </w:r>
      <w:r w:rsidR="003D0A73">
        <w:rPr>
          <w:rFonts w:eastAsia="STIX-Regular"/>
        </w:rPr>
        <w:t xml:space="preserve">-power </w:t>
      </w:r>
      <w:r w:rsidRPr="00046F57">
        <w:rPr>
          <w:rFonts w:eastAsia="STIX-Regular"/>
        </w:rPr>
        <w:t xml:space="preserve">sector, supporting the findings of </w:t>
      </w:r>
      <w:r w:rsidRPr="00046F57">
        <w:rPr>
          <w:rFonts w:eastAsia="STIX-Regular"/>
          <w14:ligatures w14:val="standardContextual"/>
        </w:rPr>
        <w:fldChar w:fldCharType="begin"/>
      </w:r>
      <w:r w:rsidRPr="00046F57">
        <w:rPr>
          <w:rFonts w:eastAsia="STIX-Regular"/>
          <w14:ligatures w14:val="standardContextual"/>
        </w:rPr>
        <w:instrText xml:space="preserve"> ADDIN ZOTERO_ITEM CSL_CITATION {"citationID":"B6lMLpeT","properties":{"formattedCitation":"(Ou et al., 2024)","plainCitation":"(Ou et al., 2024)","noteIndex":0},"citationItems":[{"id":784,"uris":["http://zotero.org/users/local/wH06Ygim/items/HIFZEIQ2"],"itemData":{"id":784,"type":"article-journal","abstract":"The transformation of Chinese coal power firms is crucial for achieving carbon emission reduction (CER) goals, and promoting green technology innovation (GTI) is the key for the achievement. To examine the interactive mechanism of central and local government regulatory behavior and coal power firms’ GTI behavior under China’s dual-regulatory system, this paper introduces environmental impact coefficients and develops a tripartite evolutionary game model (EGM) from the perspective of CER. The influencing factors and interactive relationships among them are analyzed. Additionally, through numerical simulation, the impacts of changes in central and local government S&amp;P (subsidies and penalties) on the evolution of the system are also obtained. The findings indicate the following: (1) Enhancing the initial willingness can accelerate the system’s attainment of an optimal state. The local government exhibits a slower pace of evolution. Coal power firms are more sensitive to changes in the initial willingness of the central government. (2) The local government is more sensitive to changes in the central government’s S&amp;P intensity rather than changes in the central government’s initial willingness. Low levels of central government S&amp;P and high penalties are ineffective, while high subsidies can lead to a sudden decrease in the local government’s willingness. (3) Local government penalties have a positive correlation with their effectiveness in promoting GTI, whereas high subsidies are ineffective. (4) The separate implementation of subsidies or penalties by either the central or the local government is detrimental to achieving the optimal state. Such an approach renders the fluctuant or negative behavior of the local government and coal power firms.","container-title":"Energies","DOI":"10.3390/en17030607","ISSN":"1996-1073","issue":"3","journalAbbreviation":"Energies","language":"en","license":"https://creativecommons.org/licenses/by/4.0/","page":"607","source":"DOI.org (Crossref)","title":"An Evolutionary Game Study on Green Technology Innovation of Coal Power Firms under the Dual-Regulatory System","volume":"17","author":[{"family":"Ou","given":"Kai"},{"family":"Shi","given":"Yu"},{"family":"Zhou","given":"Wenwen"}],"issued":{"date-parts":[["2024",1,26]]}}}],"schema":"https://github.com/citation-style-language/schema/raw/master/csl-citation.json"} </w:instrText>
      </w:r>
      <w:r w:rsidRPr="00046F57">
        <w:rPr>
          <w:rFonts w:eastAsia="STIX-Regular"/>
          <w14:ligatures w14:val="standardContextual"/>
        </w:rPr>
        <w:fldChar w:fldCharType="separate"/>
      </w:r>
      <w:r w:rsidRPr="00046F57">
        <w:rPr>
          <w:rFonts w:eastAsia="STIX-Regular"/>
        </w:rPr>
        <w:t>(Ou et al., 2024)</w:t>
      </w:r>
      <w:r w:rsidRPr="00046F57">
        <w:rPr>
          <w:rFonts w:eastAsia="STIX-Regular"/>
          <w14:ligatures w14:val="standardContextual"/>
        </w:rPr>
        <w:fldChar w:fldCharType="end"/>
      </w:r>
      <w:r w:rsidRPr="00046F57">
        <w:rPr>
          <w:rFonts w:eastAsia="STIX-Regular"/>
          <w14:ligatures w14:val="standardContextual"/>
        </w:rPr>
        <w:t xml:space="preserve"> and </w:t>
      </w:r>
      <w:r w:rsidRPr="00046F57">
        <w:rPr>
          <w:rFonts w:eastAsia="STIX-Regular"/>
          <w14:ligatures w14:val="standardContextual"/>
        </w:rPr>
        <w:fldChar w:fldCharType="begin"/>
      </w:r>
      <w:r w:rsidRPr="00046F57">
        <w:rPr>
          <w:rFonts w:eastAsia="STIX-Regular"/>
          <w14:ligatures w14:val="standardContextual"/>
        </w:rPr>
        <w:instrText xml:space="preserve"> ADDIN ZOTERO_ITEM CSL_CITATION {"citationID":"FmrxymTD","properties":{"formattedCitation":"(X. Li et al., 2024)","plainCitation":"(X. Li et al., 2024)","noteIndex":0},"citationItems":[{"id":173,"uris":["http://zotero.org/users/local/wH06Ygim/items/UVVKQSY8"],"itemData":{"id":173,"type":"article-journal","abstract":"Abstract\n            The carbon emissions trading system (CETS) is a helpful policy instrument for separating carbon emissions from economic expansion, and it significantly impacts energy efficiency (EE). This study uses 30 Chinese provinces from 2007 to 2020 as its research samples, and classifies energy efficiency into single-factor energy efficiency (SFE) and total-factor energy efficiency (TFE), using the difference-in-differences model to examine the effect and mechanism of the CETS on EE. As an additional tool to assess the efficacy of the CETS, the corresponding evolution of the rebound effect of energy-related carbon emissions (RECE) is also calculated. This study shows that the CETS can significantly improve EE in China's pilot provinces. The influence mechanism indicates that the effect of the CETS on EE is influenced by the level of government governance, green innovation, and industrial structure optimization. Further study finds that after the CETS was carried out, the RECE in pilot provinces was higher than that in non-pilot provinces, and 31.4% of carbon emissions reduced by EE improvement rebounded. Therefore, the CETS has yet to realize its full carbon reduction potential. The study offers specific policy proposals for the enhancement of China's CETS in light of the aforementioned findings.","container-title":"Scientific Reports","DOI":"10.1038/s41598-023-50621-3","ISSN":"2045-2322","issue":"1","journalAbbreviation":"Sci Rep","language":"en","page":"279","source":"DOI.org (Crossref)","title":"Practical effects of carbon emissions trading system on energy efficiency","volume":"14","author":[{"family":"Li","given":"Xue"},{"family":"Cao","given":"Aochen"},{"family":"Zhang","given":"Yuhan"},{"family":"Zhao","given":"Yuting"},{"family":"Chen","given":"Lulu"},{"family":"Jiang","given":"Pan"},{"family":"Liu","given":"Liang"}],"issued":{"date-parts":[["2024",1,2]]}}}],"schema":"https://github.com/citation-style-language/schema/raw/master/csl-citation.json"} </w:instrText>
      </w:r>
      <w:r w:rsidRPr="00046F57">
        <w:rPr>
          <w:rFonts w:eastAsia="STIX-Regular"/>
          <w14:ligatures w14:val="standardContextual"/>
        </w:rPr>
        <w:fldChar w:fldCharType="separate"/>
      </w:r>
      <w:r w:rsidRPr="00046F57">
        <w:rPr>
          <w:rFonts w:eastAsia="STIX-Regular"/>
        </w:rPr>
        <w:t>(X. Li et al., 2024)</w:t>
      </w:r>
      <w:r w:rsidRPr="00046F57">
        <w:rPr>
          <w:rFonts w:eastAsia="STIX-Regular"/>
          <w14:ligatures w14:val="standardContextual"/>
        </w:rPr>
        <w:fldChar w:fldCharType="end"/>
      </w:r>
      <w:r w:rsidRPr="00046F57">
        <w:rPr>
          <w:rFonts w:eastAsia="STIX-Regular"/>
          <w14:ligatures w14:val="standardContextual"/>
        </w:rPr>
        <w:t xml:space="preserve"> </w:t>
      </w:r>
      <w:r w:rsidRPr="00046F57">
        <w:rPr>
          <w:rFonts w:eastAsia="STIX-Regular"/>
        </w:rPr>
        <w:t xml:space="preserve">on the environmental benefits of carbon trading. By modestly validating Porter’s hypothesis in the specific context of China’s coal-fired power sector, this study contributes to the theoretical debate on the environmental commitment and innovation effects of environmental policy. Moreover, the role of </w:t>
      </w:r>
      <w:r w:rsidR="003D0A73" w:rsidRPr="00046F57">
        <w:rPr>
          <w:rFonts w:eastAsia="STIX-Regular"/>
        </w:rPr>
        <w:t xml:space="preserve">environmental resource commitment </w:t>
      </w:r>
      <w:r w:rsidR="003D0A73">
        <w:rPr>
          <w:rFonts w:eastAsia="STIX-Regular"/>
        </w:rPr>
        <w:t xml:space="preserve">and </w:t>
      </w:r>
      <w:r w:rsidRPr="00046F57">
        <w:rPr>
          <w:rFonts w:eastAsia="STIX-Regular"/>
        </w:rPr>
        <w:t>clean combustion technology as mediators highlights a practical pathway through which CETS can achieve sustainability goals, offering a concrete mechanism that policymakers can target to amplify the policy’s impact.</w:t>
      </w:r>
    </w:p>
    <w:p w14:paraId="7AE4DDFB" w14:textId="77777777" w:rsidR="00F25894" w:rsidRDefault="00F25894" w:rsidP="00F25894">
      <w:pPr>
        <w:pStyle w:val="Newparagraph"/>
        <w:ind w:firstLine="0"/>
        <w:jc w:val="both"/>
        <w:rPr>
          <w:rFonts w:eastAsia="STIX-Regular"/>
        </w:rPr>
      </w:pPr>
    </w:p>
    <w:p w14:paraId="6A8C2532" w14:textId="157BCA87" w:rsidR="008061A3" w:rsidRPr="008061A3" w:rsidRDefault="008061A3" w:rsidP="008061A3">
      <w:pPr>
        <w:pStyle w:val="Heading1"/>
        <w:rPr>
          <w:b/>
          <w:bCs/>
          <w:i w:val="0"/>
          <w:iCs w:val="0"/>
        </w:rPr>
      </w:pPr>
      <w:r w:rsidRPr="008061A3">
        <w:rPr>
          <w:b/>
          <w:bCs/>
          <w:i w:val="0"/>
          <w:iCs w:val="0"/>
        </w:rPr>
        <w:t>6. CONCLUSIONS AND POLICY IMPLICATIONS</w:t>
      </w:r>
    </w:p>
    <w:p w14:paraId="00895D7D" w14:textId="0E63AEA9" w:rsidR="008061A3" w:rsidRPr="000020ED" w:rsidRDefault="008061A3" w:rsidP="008061A3">
      <w:pPr>
        <w:pStyle w:val="Heading2"/>
      </w:pPr>
      <w:r>
        <w:t>6.1 CONCLUSIONS</w:t>
      </w:r>
    </w:p>
    <w:p w14:paraId="05A91511" w14:textId="77777777" w:rsidR="006E784C" w:rsidRPr="006E784C" w:rsidRDefault="008061A3" w:rsidP="006E784C">
      <w:pPr>
        <w:spacing w:before="240"/>
        <w:jc w:val="both"/>
        <w:rPr>
          <w:color w:val="000000"/>
          <w:lang w:eastAsia="zh-CN"/>
        </w:rPr>
      </w:pPr>
      <w:r w:rsidRPr="007F6C04">
        <w:rPr>
          <w:rFonts w:ascii="STIX-Regular" w:eastAsia="STIX-Regular" w:hAnsiTheme="minorHAnsi" w:cs="STIX-Regular"/>
          <w:sz w:val="20"/>
          <w:szCs w:val="20"/>
          <w14:ligatures w14:val="standardContextual"/>
        </w:rPr>
        <w:t xml:space="preserve">    </w:t>
      </w:r>
      <w:r w:rsidR="006E784C" w:rsidRPr="006E784C">
        <w:rPr>
          <w:color w:val="000000"/>
          <w:lang w:eastAsia="zh-CN"/>
        </w:rPr>
        <w:t xml:space="preserve">This study examines the impact of China’s Carbon Emissions Trading Scheme (CETS) pilot policy on Total Factor Power Generation Efficiency (TFPGE) in the coal-fired power sector across </w:t>
      </w:r>
      <w:r w:rsidR="006E784C" w:rsidRPr="006E784C">
        <w:rPr>
          <w:color w:val="000000"/>
          <w:lang w:eastAsia="zh-CN"/>
        </w:rPr>
        <w:lastRenderedPageBreak/>
        <w:t>30 Chinese provinces (2008–2019), employing a super-efficiency SBM DEA model and difference-in-differences methods.</w:t>
      </w:r>
      <w:r w:rsidR="006E784C" w:rsidRPr="006E784C">
        <w:rPr>
          <w:color w:val="000000"/>
          <w:lang w:eastAsia="zh-CN"/>
        </w:rPr>
        <w:t xml:space="preserve"> </w:t>
      </w:r>
      <w:r w:rsidR="006E784C" w:rsidRPr="006E784C">
        <w:rPr>
          <w:color w:val="000000"/>
          <w:lang w:eastAsia="zh-CN"/>
        </w:rPr>
        <w:t xml:space="preserve">Five key findings emerge. First, TFPGE averages 0.9838, with the East (1.0003) leading, followed by the West (0.9835) and Central region (0.9676). Second, CETS increases TFPGE by 2.90% </w:t>
      </w:r>
      <w:r w:rsidR="006E784C" w:rsidRPr="006E784C">
        <w:rPr>
          <w:rFonts w:eastAsia="CMR12"/>
        </w:rPr>
        <w:t>across China’s provincial coal-fired power sector</w:t>
      </w:r>
      <w:r w:rsidR="006E784C" w:rsidRPr="006E784C">
        <w:rPr>
          <w:color w:val="000000"/>
          <w:lang w:eastAsia="zh-CN"/>
        </w:rPr>
        <w:t>. Third, environmental resource commitment and clean combustion technology innovations mediate the CETS-TFPGE relationship, as the policy fosters environmental investments and technological upgrades, enhancing efficiency and reducing emissions.</w:t>
      </w:r>
      <w:r w:rsidR="006E784C" w:rsidRPr="006E784C">
        <w:rPr>
          <w:color w:val="000000"/>
          <w:lang w:eastAsia="zh-CN"/>
        </w:rPr>
        <w:t xml:space="preserve"> </w:t>
      </w:r>
      <w:r w:rsidR="006E784C" w:rsidRPr="006E784C">
        <w:rPr>
          <w:color w:val="000000"/>
          <w:lang w:eastAsia="zh-CN"/>
        </w:rPr>
        <w:t>Fourth, regional variations show greater TFPGE gains in western (2.9%) and eastern (2.5%) provinces than in the central region (1.7%), reflecting differences in economic development and energy structures. Fifth, aligning with Porter’s hypothesis, CETS drives innovation and efficiency, particularly in regions with diverse industrial structures.</w:t>
      </w:r>
      <w:r w:rsidR="006E784C" w:rsidRPr="006E784C">
        <w:rPr>
          <w:color w:val="000000"/>
          <w:lang w:eastAsia="zh-CN"/>
        </w:rPr>
        <w:t xml:space="preserve"> </w:t>
      </w:r>
      <w:r w:rsidR="006E784C" w:rsidRPr="006E784C">
        <w:rPr>
          <w:color w:val="000000"/>
          <w:lang w:eastAsia="zh-CN"/>
        </w:rPr>
        <w:t>These results highlight CETS as an effective tool for improving TFPGE, with implications for regional energy transitions and environmental planning. By addressing regional heterogeneity and technological mechanisms, this study offers insights into carbon pricing’s role in sustainable energy development in a coal-reliant context.</w:t>
      </w:r>
    </w:p>
    <w:p w14:paraId="4F76097E" w14:textId="77777777" w:rsidR="008061A3" w:rsidRPr="008061A3" w:rsidRDefault="008061A3" w:rsidP="006E784C">
      <w:pPr>
        <w:pStyle w:val="Newparagraph"/>
        <w:ind w:firstLine="0"/>
      </w:pPr>
    </w:p>
    <w:p w14:paraId="580F1589" w14:textId="162D2A7A" w:rsidR="008061A3" w:rsidRPr="007F6C04" w:rsidRDefault="008061A3" w:rsidP="008061A3">
      <w:pPr>
        <w:pStyle w:val="Heading2"/>
        <w:rPr>
          <w:rFonts w:eastAsia="STIX-Regular"/>
          <w14:ligatures w14:val="standardContextual"/>
        </w:rPr>
      </w:pPr>
      <w:r>
        <w:rPr>
          <w:shd w:val="clear" w:color="auto" w:fill="FFFFFF"/>
        </w:rPr>
        <w:t>6.2 POLICY IMPLICATIONS</w:t>
      </w:r>
      <w:r w:rsidRPr="007F6C04">
        <w:rPr>
          <w:shd w:val="clear" w:color="auto" w:fill="FFFFFF"/>
        </w:rPr>
        <w:t xml:space="preserve"> </w:t>
      </w:r>
    </w:p>
    <w:p w14:paraId="55BA0052" w14:textId="77777777" w:rsidR="008061A3" w:rsidRPr="00046F57" w:rsidRDefault="008061A3" w:rsidP="008061A3">
      <w:pPr>
        <w:pStyle w:val="Paragraph"/>
        <w:rPr>
          <w:shd w:val="clear" w:color="auto" w:fill="FFFFFF"/>
        </w:rPr>
      </w:pPr>
      <w:r w:rsidRPr="00046F57">
        <w:rPr>
          <w:rFonts w:eastAsia="STIX-Regular"/>
          <w14:ligatures w14:val="standardContextual"/>
        </w:rPr>
        <w:t xml:space="preserve">    Drawing on our empirical findings, we propose the following policy recommendations to enhance the CETS’s effectiveness in improving TFPGE and advancing sustainable development in China’s coal-fired power sector: </w:t>
      </w:r>
    </w:p>
    <w:p w14:paraId="5BAB4053" w14:textId="77777777" w:rsidR="008061A3" w:rsidRPr="00046F57" w:rsidRDefault="008061A3" w:rsidP="008061A3">
      <w:pPr>
        <w:pStyle w:val="Numberedlist"/>
        <w:numPr>
          <w:ilvl w:val="0"/>
          <w:numId w:val="0"/>
        </w:numPr>
        <w:ind w:left="720"/>
        <w:rPr>
          <w:shd w:val="clear" w:color="auto" w:fill="FFFFFF"/>
        </w:rPr>
      </w:pPr>
      <w:r w:rsidRPr="00046F57">
        <w:rPr>
          <w:shd w:val="clear" w:color="auto" w:fill="FFFFFF"/>
        </w:rPr>
        <w:t xml:space="preserve">1. Leverage CETS to Drive Clean Combustion Technology Adoption  </w:t>
      </w:r>
    </w:p>
    <w:p w14:paraId="53CF97A1" w14:textId="77777777" w:rsidR="008061A3" w:rsidRPr="00046F57" w:rsidRDefault="008061A3" w:rsidP="008061A3">
      <w:pPr>
        <w:pStyle w:val="Paragraph"/>
        <w:jc w:val="both"/>
        <w:rPr>
          <w:shd w:val="clear" w:color="auto" w:fill="FFFFFF"/>
        </w:rPr>
      </w:pPr>
      <w:r w:rsidRPr="00046F57">
        <w:rPr>
          <w:shd w:val="clear" w:color="auto" w:fill="FFFFFF"/>
        </w:rPr>
        <w:t xml:space="preserve">   Our findings confirm that the CETS boosts TFPGE by promoting clean combustion technology innovations, a key mechanism for efficiency gains and emissions reductions. Local governments </w:t>
      </w:r>
      <w:r w:rsidRPr="00046F57">
        <w:rPr>
          <w:shd w:val="clear" w:color="auto" w:fill="FFFFFF"/>
        </w:rPr>
        <w:lastRenderedPageBreak/>
        <w:t xml:space="preserve">should use CETS as a lever to incentivize coal-fired power enterprises to invest in advanced technologies, such as ultra-supercritical combustion systems or carbon capture and storage (CCS). To achieve this, policymakers can adjust carbon prices to make low-carbon technologies more financially attractive, offering subsidies or tax incentives for firms that adopt these innovations. This aligns with Porter’s hypothesis, which our study validates, showing that environmental regulations can spur technological innovation while improving efficiency. Additionally, governments should establish innovation hubs or public-private partnerships to accelerate the development and deployment of clean combustion technologies, ensuring that coal-dependent regions are not left behind in the energy transition. </w:t>
      </w:r>
    </w:p>
    <w:p w14:paraId="5DF8CF68" w14:textId="77777777" w:rsidR="008061A3" w:rsidRPr="00046F57" w:rsidRDefault="008061A3" w:rsidP="008061A3">
      <w:pPr>
        <w:pStyle w:val="Numberedlist"/>
        <w:numPr>
          <w:ilvl w:val="0"/>
          <w:numId w:val="0"/>
        </w:numPr>
        <w:ind w:left="720"/>
        <w:rPr>
          <w:shd w:val="clear" w:color="auto" w:fill="FFFFFF"/>
        </w:rPr>
      </w:pPr>
      <w:r w:rsidRPr="00046F57">
        <w:rPr>
          <w:shd w:val="clear" w:color="auto" w:fill="FFFFFF"/>
        </w:rPr>
        <w:t xml:space="preserve">2. Tailor CETS Implementation to Regional Contexts  </w:t>
      </w:r>
    </w:p>
    <w:p w14:paraId="2D39B368" w14:textId="77777777" w:rsidR="008061A3" w:rsidRPr="00046F57" w:rsidRDefault="008061A3" w:rsidP="008061A3">
      <w:pPr>
        <w:pStyle w:val="Paragraph"/>
        <w:jc w:val="both"/>
        <w:rPr>
          <w:shd w:val="clear" w:color="auto" w:fill="FFFFFF"/>
        </w:rPr>
      </w:pPr>
      <w:r w:rsidRPr="00046F57">
        <w:rPr>
          <w:shd w:val="clear" w:color="auto" w:fill="FFFFFF"/>
        </w:rPr>
        <w:t xml:space="preserve">   The regional variations in the CETS’s impact on TFPGE—stronger in the East (1.0003) and West (0.9835) but weaker in the Central region (0.9676)—underscore the need for context-specific environmental strategies. In the Central region, where coal dependency remains high and TFPGE is lowest, the CETS has not sufficiently reduced fossil fuel reliance. Policymakers should introduce targeted incentives, such as higher carbon prices or grants for phasing out inefficient plants, to accelerate energy structure upgrades. For example, supporting the adoption of renewable energy sources like wind or solar in the Central region could reduce coal dependency while boosting TFPGE. In contrast, the East and West regions, which benefit more from CETS due to their economic development and diversified power structures, can serve as models for best practices, such as integrating CETS with renewable energy subsidies. By tailoring CETS policies to regional industrial and economic contexts, governments can maximize the policy’s effectiveness and ensure equitable progress toward sustainability across provinces.</w:t>
      </w:r>
    </w:p>
    <w:p w14:paraId="19A46278" w14:textId="77777777" w:rsidR="008061A3" w:rsidRPr="00046F57" w:rsidRDefault="008061A3" w:rsidP="008061A3">
      <w:pPr>
        <w:pStyle w:val="Numberedlist"/>
        <w:numPr>
          <w:ilvl w:val="0"/>
          <w:numId w:val="0"/>
        </w:numPr>
        <w:ind w:left="720"/>
        <w:rPr>
          <w:shd w:val="clear" w:color="auto" w:fill="FFFFFF"/>
        </w:rPr>
      </w:pPr>
      <w:r w:rsidRPr="00046F57">
        <w:rPr>
          <w:shd w:val="clear" w:color="auto" w:fill="FFFFFF"/>
        </w:rPr>
        <w:lastRenderedPageBreak/>
        <w:t xml:space="preserve">3. Strengthen Inter-Regional Collaboration to Amplify CETS Benefits  </w:t>
      </w:r>
    </w:p>
    <w:p w14:paraId="52624639" w14:textId="77777777" w:rsidR="008061A3" w:rsidRPr="00046F57" w:rsidRDefault="008061A3" w:rsidP="008061A3">
      <w:pPr>
        <w:pStyle w:val="Paragraph"/>
        <w:jc w:val="both"/>
        <w:rPr>
          <w:shd w:val="clear" w:color="auto" w:fill="FFFFFF"/>
        </w:rPr>
      </w:pPr>
      <w:r w:rsidRPr="00046F57">
        <w:rPr>
          <w:shd w:val="clear" w:color="auto" w:fill="FFFFFF"/>
        </w:rPr>
        <w:t xml:space="preserve">   The CETS’s positive impact on TFPGE can be amplified through inter-regional collaboration. Provinces with higher TFPGE, such as those in the East, can share best practices in clean technology adoption and policy implementation with lagging regions like the Central provinces. Governments should establish platforms for knowledge transfer, such as inter-provincial task forces or technology-sharing initiatives, to facilitate the diffusion of successful strategies. For instance, the East’s success in achieving a TFPGE of 1.0003 could be replicated in the Central region through workshops on integrating CETS with renewable energy investments. Additionally, fostering industry partnerships between coal-fired power enterprises across regions can promote the adoption of sustainable practices, ensuring that the CETS’s benefits extend beyond individual provinces to advance the entire energy sector toward sustainable development.</w:t>
      </w:r>
    </w:p>
    <w:p w14:paraId="1F2CCE21" w14:textId="77777777" w:rsidR="008061A3" w:rsidRPr="00046F57" w:rsidRDefault="008061A3" w:rsidP="008061A3">
      <w:pPr>
        <w:pStyle w:val="Numberedlist"/>
        <w:numPr>
          <w:ilvl w:val="0"/>
          <w:numId w:val="0"/>
        </w:numPr>
        <w:ind w:left="720"/>
        <w:rPr>
          <w:shd w:val="clear" w:color="auto" w:fill="FFFFFF"/>
        </w:rPr>
      </w:pPr>
      <w:r w:rsidRPr="00046F57">
        <w:rPr>
          <w:shd w:val="clear" w:color="auto" w:fill="FFFFFF"/>
        </w:rPr>
        <w:t xml:space="preserve">4. Enhance CETS Oversight with a Focus on Industrial Structure Dynamics  </w:t>
      </w:r>
    </w:p>
    <w:p w14:paraId="14EC7E2A" w14:textId="1C7E6470" w:rsidR="008061A3" w:rsidRDefault="008061A3" w:rsidP="008061A3">
      <w:pPr>
        <w:pStyle w:val="Paragraph"/>
        <w:jc w:val="both"/>
        <w:rPr>
          <w:shd w:val="clear" w:color="auto" w:fill="FFFFFF"/>
        </w:rPr>
      </w:pPr>
      <w:r w:rsidRPr="00046F57">
        <w:rPr>
          <w:shd w:val="clear" w:color="auto" w:fill="FFFFFF"/>
        </w:rPr>
        <w:t xml:space="preserve">   Our study finds that the CETS’s alignment with Porter’s hypothesis is moderated by regional industrial structures, with stronger effects in regions with diversified economies. To sustain and enhance these benefits, local governments must strengthen CETS oversight by developing robust monitoring and evaluation frameworks. Regular assessments should track not only TFPGE improvements but also how industrial structures evolve in response to the policy. For example, in coal-heavy regions like the Central provinces, policymakers should monitor whether CETS encourages diversification (e.g., growth in renewable energy sectors) and adjust the policy as needed to prevent over-reliance on coal. This could involve setting regional </w:t>
      </w:r>
      <w:r w:rsidR="00F27C37">
        <w:rPr>
          <w:shd w:val="clear" w:color="auto" w:fill="FFFFFF"/>
        </w:rPr>
        <w:t>power generation efficiency</w:t>
      </w:r>
      <w:r w:rsidRPr="00046F57">
        <w:rPr>
          <w:shd w:val="clear" w:color="auto" w:fill="FFFFFF"/>
        </w:rPr>
        <w:t xml:space="preserve"> targets or linking carbon quotas to industrial diversification goals. By focusing oversight </w:t>
      </w:r>
      <w:r w:rsidRPr="00046F57">
        <w:rPr>
          <w:shd w:val="clear" w:color="auto" w:fill="FFFFFF"/>
        </w:rPr>
        <w:lastRenderedPageBreak/>
        <w:t xml:space="preserve">on </w:t>
      </w:r>
      <w:r w:rsidR="00F27C37">
        <w:rPr>
          <w:shd w:val="clear" w:color="auto" w:fill="FFFFFF"/>
        </w:rPr>
        <w:t>industrial</w:t>
      </w:r>
      <w:r w:rsidRPr="00046F57">
        <w:rPr>
          <w:shd w:val="clear" w:color="auto" w:fill="FFFFFF"/>
        </w:rPr>
        <w:t xml:space="preserve"> structure dynamics, governments can ensure that CETS drives long-term sustainability while addressing regional disparities.</w:t>
      </w:r>
    </w:p>
    <w:p w14:paraId="491557A3" w14:textId="1D2BDEA7" w:rsidR="008061A3" w:rsidRPr="008061A3" w:rsidRDefault="008061A3" w:rsidP="008061A3">
      <w:pPr>
        <w:pStyle w:val="Heading1"/>
        <w:rPr>
          <w:b/>
          <w:bCs/>
          <w:i w:val="0"/>
          <w:iCs w:val="0"/>
        </w:rPr>
      </w:pPr>
      <w:r>
        <w:rPr>
          <w:b/>
          <w:bCs/>
          <w:i w:val="0"/>
          <w:iCs w:val="0"/>
        </w:rPr>
        <w:t>7</w:t>
      </w:r>
      <w:r w:rsidRPr="008061A3">
        <w:rPr>
          <w:b/>
          <w:bCs/>
          <w:i w:val="0"/>
          <w:iCs w:val="0"/>
        </w:rPr>
        <w:t>. LIMITATIONS AND FUTURE DIRECTIONS</w:t>
      </w:r>
    </w:p>
    <w:p w14:paraId="5229AA6E" w14:textId="77777777" w:rsidR="008061A3" w:rsidRPr="00F13F17" w:rsidRDefault="008061A3" w:rsidP="008061A3">
      <w:pPr>
        <w:spacing w:line="240" w:lineRule="auto"/>
        <w:rPr>
          <w:b/>
        </w:rPr>
      </w:pPr>
    </w:p>
    <w:p w14:paraId="4D583C5F" w14:textId="47586C89" w:rsidR="008061A3" w:rsidRPr="00046F57" w:rsidRDefault="008061A3" w:rsidP="008061A3">
      <w:pPr>
        <w:pStyle w:val="Paragraph"/>
        <w:rPr>
          <w:rFonts w:eastAsia="STIX-Regular"/>
        </w:rPr>
      </w:pPr>
      <w:r>
        <w:rPr>
          <w:rFonts w:eastAsia="STIX-Regular"/>
        </w:rPr>
        <w:t xml:space="preserve">    </w:t>
      </w:r>
      <w:r w:rsidRPr="00046F57">
        <w:rPr>
          <w:rFonts w:eastAsia="STIX-Regular"/>
        </w:rPr>
        <w:t>While this study provides valuable insights into the effectiveness of China’s CETS pilot policy on TFPGE in the coal-fired power sector, several limitations must be acknowledged to contextualize its findings and guide future research.</w:t>
      </w:r>
    </w:p>
    <w:p w14:paraId="4D10E439" w14:textId="77777777" w:rsidR="008061A3" w:rsidRPr="00046F57" w:rsidRDefault="008061A3" w:rsidP="008061A3">
      <w:pPr>
        <w:pStyle w:val="Newparagraph"/>
        <w:jc w:val="both"/>
        <w:rPr>
          <w:rFonts w:eastAsia="STIX-Regular"/>
        </w:rPr>
      </w:pPr>
      <w:r w:rsidRPr="00046F57">
        <w:rPr>
          <w:rFonts w:eastAsia="STIX-Regular"/>
        </w:rPr>
        <w:t>First, our analysis is constrained by its focus on the coal-fired power sector across 30 Chinese provinces from 2008 to 2019, which limits the generalizability of the findings to other industries, regions, or countries. The coal sector’s unique characteristics—such as its high emissions intensity and heavy reliance on clean combustion technologies—may not reflect the dynamics of other sectors like manufacturing or transportation, where CETS might have different impacts on efficiency. Similarly, China’s regional economic disparities and policy implementation variations may not mirror conditions in other countries with different energy mixes or regulatory frameworks. Future research should explore the CETS’s effects across diverse industries and international contexts, such as comparing its impact in coal-dependent economies like India with more diversified energy systems like those in the European Union, to assess the policy’s broader applicability.</w:t>
      </w:r>
    </w:p>
    <w:p w14:paraId="1C104523" w14:textId="77777777" w:rsidR="008061A3" w:rsidRPr="00046F57" w:rsidRDefault="008061A3" w:rsidP="008061A3">
      <w:pPr>
        <w:pStyle w:val="Newparagraph"/>
        <w:jc w:val="both"/>
        <w:rPr>
          <w:shd w:val="clear" w:color="auto" w:fill="FFFFFF"/>
        </w:rPr>
      </w:pPr>
      <w:r w:rsidRPr="00046F57">
        <w:rPr>
          <w:shd w:val="clear" w:color="auto" w:fill="FFFFFF"/>
        </w:rPr>
        <w:t xml:space="preserve">Second, due to data constraints, this study examines the short-term impact of CETS on PGE using provincial-level data, leaving the long-term and firm-level effects underexplored. The 2008–2019 timeframe captures the initial rollout of the CETS pilot but does not account for its evolution, particularly following the launch of China’s national carbon market in 2021. Moreover, provincial-level data obscures firm-level behavioral responses, such as how individual coal-fired power enterprises adjust their investment strategies or technology adoption under CETS. Future </w:t>
      </w:r>
      <w:r w:rsidRPr="00046F57">
        <w:rPr>
          <w:shd w:val="clear" w:color="auto" w:fill="FFFFFF"/>
        </w:rPr>
        <w:lastRenderedPageBreak/>
        <w:t>studies should leverage firm-level datasets to investigate micro-level dynamics, such as how firm size, ownership structure, or financial capacity influence PGE responses to CETS. Additionally, extending the analysis beyond 2019 to include the national CETS phase could reveal long-term trends, such as whether the observed 2.90% TFPGE increase persists or amplifies as the policy matures.</w:t>
      </w:r>
    </w:p>
    <w:p w14:paraId="37390ECE" w14:textId="77777777" w:rsidR="008061A3" w:rsidRPr="00046F57" w:rsidRDefault="008061A3" w:rsidP="008061A3">
      <w:pPr>
        <w:pStyle w:val="Newparagraph"/>
        <w:jc w:val="both"/>
        <w:rPr>
          <w:shd w:val="clear" w:color="auto" w:fill="FFFFFF"/>
        </w:rPr>
      </w:pPr>
      <w:r w:rsidRPr="00046F57">
        <w:rPr>
          <w:shd w:val="clear" w:color="auto" w:fill="FFFFFF"/>
        </w:rPr>
        <w:t>Third, our TFPGE analysis adopts a static approach, which overlooks the dynamic effects of CETS on efficiency over time. The difference-in-differences (DID) and the multi-period DID models used in this study capture average treatment effects but do not account for temporal variations, such as how TFPGE evolves as firms adapt to CETS over multiple years or how policy adjustments (e.g., changes in carbon prices) influence efficiency trajectories. This static perspective limits our understanding of the policy’s sustained impact, particularly in regions with varying TFPGE gains (e.g., 2.9% in the West vs. 1.7% in the Central region). Future research should employ dynamic models, such as panel vector autoregression or dynamic DEA approaches, to capture both short-term and long-term effects of CETS on TFPGE, providing a more comprehensive view of its temporal dynamics and regional heterogeneity.</w:t>
      </w:r>
    </w:p>
    <w:p w14:paraId="22F9CC6E" w14:textId="7AD23DAF" w:rsidR="008061A3" w:rsidRPr="00046F57" w:rsidRDefault="008061A3" w:rsidP="008061A3">
      <w:pPr>
        <w:pStyle w:val="Newparagraph"/>
        <w:jc w:val="both"/>
        <w:rPr>
          <w:shd w:val="clear" w:color="auto" w:fill="FFFFFF"/>
        </w:rPr>
      </w:pPr>
      <w:r w:rsidRPr="00046F57">
        <w:rPr>
          <w:shd w:val="clear" w:color="auto" w:fill="FFFFFF"/>
        </w:rPr>
        <w:t xml:space="preserve">Finally, while our findings modestly support Porter’s hypothesis by demonstrating that CETS </w:t>
      </w:r>
      <w:r w:rsidR="003D0A73">
        <w:rPr>
          <w:shd w:val="clear" w:color="auto" w:fill="FFFFFF"/>
        </w:rPr>
        <w:t xml:space="preserve">enhances </w:t>
      </w:r>
      <w:r w:rsidR="003D0A73" w:rsidRPr="00046F57">
        <w:rPr>
          <w:shd w:val="clear" w:color="auto" w:fill="FFFFFF"/>
        </w:rPr>
        <w:t>resource commitment</w:t>
      </w:r>
      <w:r w:rsidR="003D0A73">
        <w:rPr>
          <w:shd w:val="clear" w:color="auto" w:fill="FFFFFF"/>
        </w:rPr>
        <w:t xml:space="preserve">, </w:t>
      </w:r>
      <w:r w:rsidRPr="00046F57">
        <w:rPr>
          <w:shd w:val="clear" w:color="auto" w:fill="FFFFFF"/>
        </w:rPr>
        <w:t xml:space="preserve">drives clean combustion technology innovation, and efficiency gains, the optimal intensity of environmental regulation and its interaction with other market-based mechanisms remain unclear. The 2.90% TFPGE increase suggests that CETS is effective, but the policy’s impact varies with regional </w:t>
      </w:r>
      <w:r w:rsidR="00013C9D">
        <w:rPr>
          <w:shd w:val="clear" w:color="auto" w:fill="FFFFFF"/>
        </w:rPr>
        <w:t>energy</w:t>
      </w:r>
      <w:r w:rsidRPr="00046F57">
        <w:rPr>
          <w:shd w:val="clear" w:color="auto" w:fill="FFFFFF"/>
        </w:rPr>
        <w:t xml:space="preserve"> structures (e.g., 2.6% TFPGE increase in low thermal power share regions vs. 1.46% in high thermal power share regions), raising questions about whether current carbon pricing levels are optimal for all regions. Additionally, the interplay between CETS and complementary policies, such as carbon taxes or </w:t>
      </w:r>
      <w:r w:rsidRPr="00046F57">
        <w:rPr>
          <w:shd w:val="clear" w:color="auto" w:fill="FFFFFF"/>
        </w:rPr>
        <w:lastRenderedPageBreak/>
        <w:t>renewable energy subsidies, could amplify its effectiveness, particularly in coal-heavy regions like the Central provinces. Future research should investigate the optimal design of CETS, such as determining the carbon price threshold that maximizes TF</w:t>
      </w:r>
      <w:r w:rsidR="00013C9D">
        <w:rPr>
          <w:shd w:val="clear" w:color="auto" w:fill="FFFFFF"/>
        </w:rPr>
        <w:t>P</w:t>
      </w:r>
      <w:r w:rsidRPr="00046F57">
        <w:rPr>
          <w:shd w:val="clear" w:color="auto" w:fill="FFFFFF"/>
        </w:rPr>
        <w:t>GE without imposing excessive costs on firms. Moreover, studies should explore how CETS interacts with other market-based mechanisms to create a cohesive policy framework, potentially using simulation models or comparative case studies to identify synergies that enhance TFPGE across diverse regional contexts.</w:t>
      </w:r>
    </w:p>
    <w:p w14:paraId="64245866" w14:textId="6DCDDD94" w:rsidR="008061A3" w:rsidRPr="00046F57" w:rsidRDefault="008061A3" w:rsidP="008061A3">
      <w:pPr>
        <w:pStyle w:val="Newparagraph"/>
        <w:jc w:val="both"/>
        <w:rPr>
          <w:shd w:val="clear" w:color="auto" w:fill="FFFFFF"/>
        </w:rPr>
      </w:pPr>
      <w:r w:rsidRPr="00046F57">
        <w:rPr>
          <w:shd w:val="clear" w:color="auto" w:fill="FFFFFF"/>
        </w:rPr>
        <w:t xml:space="preserve">Despite these limitations, this study makes a significant contribution by providing a regionally nuanced analysis of CETS effects, identifying </w:t>
      </w:r>
      <w:r w:rsidR="003A01E9">
        <w:rPr>
          <w:shd w:val="clear" w:color="auto" w:fill="FFFFFF"/>
        </w:rPr>
        <w:t xml:space="preserve">environmental resource commitment and </w:t>
      </w:r>
      <w:r w:rsidRPr="00046F57">
        <w:rPr>
          <w:shd w:val="clear" w:color="auto" w:fill="FFFFFF"/>
        </w:rPr>
        <w:t>clean combustion technology as a critical mediator, and validating Porter’s hypothesis in the context of China’s coal-fired power sector. These findings lay a robust foundation for future research to build upon, particularly in addressing the gaps identified above. By focusing on long-term impacts, firm-level dynamics, temporal effects, and policy interactions, future studies can further enhance our understanding of carbon pricing’s role in driving sustainable energy transitions, offering new perspectives for environmental planning and management in coal-dependent economies.</w:t>
      </w:r>
    </w:p>
    <w:p w14:paraId="23EE348B" w14:textId="77777777" w:rsidR="008061A3" w:rsidRPr="008061A3" w:rsidRDefault="008061A3" w:rsidP="00E12BAC">
      <w:pPr>
        <w:spacing w:line="240" w:lineRule="auto"/>
        <w:rPr>
          <w:b/>
          <w:lang w:val="en-GB"/>
        </w:rPr>
      </w:pPr>
    </w:p>
    <w:p w14:paraId="61FB82AE" w14:textId="77777777" w:rsidR="008061A3" w:rsidRDefault="008061A3" w:rsidP="008061A3"/>
    <w:p w14:paraId="3DB04EDA" w14:textId="77777777" w:rsidR="008872DE" w:rsidRDefault="008872DE" w:rsidP="008061A3"/>
    <w:p w14:paraId="4E9D73C8" w14:textId="77777777" w:rsidR="00F25894" w:rsidRDefault="00F25894" w:rsidP="008061A3"/>
    <w:p w14:paraId="19662E8D" w14:textId="77777777" w:rsidR="00F25894" w:rsidRDefault="00F25894" w:rsidP="008061A3"/>
    <w:p w14:paraId="338C137D" w14:textId="77777777" w:rsidR="00F25894" w:rsidRDefault="00F25894" w:rsidP="008061A3"/>
    <w:p w14:paraId="3284E708" w14:textId="77777777" w:rsidR="00F25894" w:rsidRDefault="00F25894" w:rsidP="008061A3"/>
    <w:p w14:paraId="232497C6" w14:textId="77777777" w:rsidR="00F25894" w:rsidRDefault="00F25894" w:rsidP="008061A3"/>
    <w:p w14:paraId="098565CD" w14:textId="77777777" w:rsidR="00F25894" w:rsidRDefault="00F25894" w:rsidP="008061A3"/>
    <w:p w14:paraId="3A323E74" w14:textId="77777777" w:rsidR="00F25894" w:rsidRDefault="00F25894" w:rsidP="008061A3"/>
    <w:p w14:paraId="7B512110" w14:textId="77777777" w:rsidR="00F25894" w:rsidRDefault="00F25894" w:rsidP="008061A3"/>
    <w:p w14:paraId="36958C35" w14:textId="77777777" w:rsidR="00F13F17" w:rsidRPr="008061A3" w:rsidRDefault="00F13F17" w:rsidP="008061A3">
      <w:pPr>
        <w:pStyle w:val="Heading1"/>
        <w:rPr>
          <w:b/>
          <w:bCs/>
          <w:i w:val="0"/>
          <w:iCs w:val="0"/>
        </w:rPr>
      </w:pPr>
      <w:r w:rsidRPr="008061A3">
        <w:rPr>
          <w:b/>
          <w:bCs/>
          <w:i w:val="0"/>
          <w:iCs w:val="0"/>
        </w:rPr>
        <w:t>REFERENCES</w:t>
      </w:r>
    </w:p>
    <w:p w14:paraId="3DBB2A15" w14:textId="77777777" w:rsidR="00F13F17" w:rsidRDefault="00F13F17" w:rsidP="00A148CC">
      <w:pPr>
        <w:spacing w:line="240" w:lineRule="auto"/>
      </w:pPr>
    </w:p>
    <w:p w14:paraId="0B1741B7" w14:textId="77777777" w:rsidR="00C916FE" w:rsidRDefault="008061A3" w:rsidP="00C916FE">
      <w:pPr>
        <w:pStyle w:val="Bibliography"/>
      </w:pPr>
      <w:r>
        <w:fldChar w:fldCharType="begin"/>
      </w:r>
      <w:r>
        <w:instrText xml:space="preserve"> ADDIN ZOTERO_BIBL {"uncited":[],"omitted":[],"custom":[]} CSL_BIBLIOGRAPHY </w:instrText>
      </w:r>
      <w:r>
        <w:fldChar w:fldCharType="separate"/>
      </w:r>
      <w:r w:rsidR="00C916FE">
        <w:t xml:space="preserve">Acemoglu, D., Aghion, P., Barrage, L., &amp; </w:t>
      </w:r>
      <w:proofErr w:type="spellStart"/>
      <w:r w:rsidR="00C916FE">
        <w:t>Hémous</w:t>
      </w:r>
      <w:proofErr w:type="spellEnd"/>
      <w:r w:rsidR="00C916FE">
        <w:t xml:space="preserve">, D. (2023). </w:t>
      </w:r>
      <w:r w:rsidR="00C916FE">
        <w:rPr>
          <w:i/>
          <w:iCs/>
        </w:rPr>
        <w:t>Climate Change, Directed Innovation, and Energy Transition: The Long-run Consequences of the Shale Gas Revolution</w:t>
      </w:r>
      <w:r w:rsidR="00C916FE">
        <w:t xml:space="preserve"> (w31657; p. w31657). National Bureau of Economic Research. https://doi.org/10.3386/w31657</w:t>
      </w:r>
    </w:p>
    <w:p w14:paraId="1640B94A" w14:textId="77777777" w:rsidR="00C916FE" w:rsidRDefault="00C916FE" w:rsidP="00C916FE">
      <w:pPr>
        <w:pStyle w:val="Bibliography"/>
      </w:pPr>
      <w:r>
        <w:t xml:space="preserve">Bai, J., &amp; Ru, H. (2024). Carbon Emissions Trading and Environmental Protection: International Evidence. </w:t>
      </w:r>
      <w:r>
        <w:rPr>
          <w:i/>
          <w:iCs/>
        </w:rPr>
        <w:t>Management Science</w:t>
      </w:r>
      <w:r>
        <w:t>, mnsc.2023.03143. https://doi.org/10.1287/mnsc.2023.03143</w:t>
      </w:r>
    </w:p>
    <w:p w14:paraId="4C10FB03" w14:textId="77777777" w:rsidR="00C916FE" w:rsidRDefault="00C916FE" w:rsidP="00C916FE">
      <w:pPr>
        <w:pStyle w:val="Bibliography"/>
      </w:pPr>
      <w:r>
        <w:t xml:space="preserve">Banker, R. D., Charnes, A., &amp; Cooper, W. W. (1984). Some Models for Estimating Technical and Scale Inefficiencies in Data Envelopment Analysis. </w:t>
      </w:r>
      <w:r>
        <w:rPr>
          <w:i/>
          <w:iCs/>
        </w:rPr>
        <w:t>Management Science</w:t>
      </w:r>
      <w:r>
        <w:t xml:space="preserve">, </w:t>
      </w:r>
      <w:r>
        <w:rPr>
          <w:i/>
          <w:iCs/>
        </w:rPr>
        <w:t>30</w:t>
      </w:r>
      <w:r>
        <w:t>(9), 1078–1092. https://doi.org/10.1287/mnsc.30.9.1078</w:t>
      </w:r>
    </w:p>
    <w:p w14:paraId="427A8598" w14:textId="77777777" w:rsidR="00C916FE" w:rsidRDefault="00C916FE" w:rsidP="00C916FE">
      <w:pPr>
        <w:pStyle w:val="Bibliography"/>
      </w:pPr>
      <w:r>
        <w:t xml:space="preserve">Bendig, D., Schulz, C., Theis, L., &amp; Raff, S. (2023). Digital orientation and environmental performance in times of technological change. </w:t>
      </w:r>
      <w:r>
        <w:rPr>
          <w:i/>
          <w:iCs/>
        </w:rPr>
        <w:t>Technological Forecasting and Social Change</w:t>
      </w:r>
      <w:r>
        <w:t xml:space="preserve">, </w:t>
      </w:r>
      <w:r>
        <w:rPr>
          <w:i/>
          <w:iCs/>
        </w:rPr>
        <w:t>188</w:t>
      </w:r>
      <w:r>
        <w:t>, 122272. https://doi.org/10.1016/j.techfore.2022.122272</w:t>
      </w:r>
    </w:p>
    <w:p w14:paraId="7163FA72" w14:textId="77777777" w:rsidR="00C916FE" w:rsidRDefault="00C916FE" w:rsidP="00C916FE">
      <w:pPr>
        <w:pStyle w:val="Bibliography"/>
      </w:pPr>
      <w:r>
        <w:t xml:space="preserve">Bi, G.-B., Song, W., Zhou, P., &amp; Liang, L. (2014). Does environmental regulation affect energy efficiency in China’s thermal power generation? Empirical evidence from a slacks-based DEA model. </w:t>
      </w:r>
      <w:r>
        <w:rPr>
          <w:i/>
          <w:iCs/>
        </w:rPr>
        <w:t>Energy Policy</w:t>
      </w:r>
      <w:r>
        <w:t xml:space="preserve">, </w:t>
      </w:r>
      <w:r>
        <w:rPr>
          <w:i/>
          <w:iCs/>
        </w:rPr>
        <w:t>66</w:t>
      </w:r>
      <w:r>
        <w:t>, 537–546. https://doi.org/10.1016/j.enpol.2013.10.056</w:t>
      </w:r>
    </w:p>
    <w:p w14:paraId="238BECA3" w14:textId="77777777" w:rsidR="00C916FE" w:rsidRDefault="00C916FE" w:rsidP="00C916FE">
      <w:pPr>
        <w:pStyle w:val="Bibliography"/>
      </w:pPr>
      <w:r>
        <w:t xml:space="preserve">Bian, Z., Liu, J., Zhang, Y., Peng, B., &amp; Jiao, J. (2024). A green path towards sustainable development: The impact of carbon emissions trading system on urban green </w:t>
      </w:r>
      <w:r>
        <w:lastRenderedPageBreak/>
        <w:t xml:space="preserve">transformation development. </w:t>
      </w:r>
      <w:r>
        <w:rPr>
          <w:i/>
          <w:iCs/>
        </w:rPr>
        <w:t>Journal of Cleaner Production</w:t>
      </w:r>
      <w:r>
        <w:t xml:space="preserve">, </w:t>
      </w:r>
      <w:r>
        <w:rPr>
          <w:i/>
          <w:iCs/>
        </w:rPr>
        <w:t>442</w:t>
      </w:r>
      <w:r>
        <w:t>, 140943. https://doi.org/10.1016/j.jclepro.2024.140943</w:t>
      </w:r>
    </w:p>
    <w:p w14:paraId="4A02018E" w14:textId="77777777" w:rsidR="00C916FE" w:rsidRDefault="00C916FE" w:rsidP="00C916FE">
      <w:pPr>
        <w:pStyle w:val="Bibliography"/>
      </w:pPr>
      <w:r>
        <w:t xml:space="preserve">Cao, J., Ho, M. S., Ma, R., &amp; Teng, F. (2021). When carbon emission trading meets a regulated industry: Evidence from the electricity sector of China. </w:t>
      </w:r>
      <w:r>
        <w:rPr>
          <w:i/>
          <w:iCs/>
        </w:rPr>
        <w:t>Journal of Public Economics</w:t>
      </w:r>
      <w:r>
        <w:t xml:space="preserve">, </w:t>
      </w:r>
      <w:r>
        <w:rPr>
          <w:i/>
          <w:iCs/>
        </w:rPr>
        <w:t>200</w:t>
      </w:r>
      <w:r>
        <w:t>, 104470. https://doi.org/10.1016/j.jpubeco.2021.104470</w:t>
      </w:r>
    </w:p>
    <w:p w14:paraId="4A028458" w14:textId="77777777" w:rsidR="00C916FE" w:rsidRDefault="00C916FE" w:rsidP="00C916FE">
      <w:pPr>
        <w:pStyle w:val="Bibliography"/>
      </w:pPr>
      <w:r>
        <w:t xml:space="preserve">Charnes, A., Cooper, W. W., &amp; Rhodes, E. (1978). Measuring the efficiency of </w:t>
      </w:r>
      <w:proofErr w:type="gramStart"/>
      <w:r>
        <w:t>decision making</w:t>
      </w:r>
      <w:proofErr w:type="gramEnd"/>
      <w:r>
        <w:t xml:space="preserve"> units. </w:t>
      </w:r>
      <w:r>
        <w:rPr>
          <w:i/>
          <w:iCs/>
        </w:rPr>
        <w:t>European Journal of Operational Research</w:t>
      </w:r>
      <w:r>
        <w:t xml:space="preserve">, </w:t>
      </w:r>
      <w:r>
        <w:rPr>
          <w:i/>
          <w:iCs/>
        </w:rPr>
        <w:t>2</w:t>
      </w:r>
      <w:r>
        <w:t>(6), 429–444. https://doi.org/10.1016/0377-2217(78)90138-8</w:t>
      </w:r>
    </w:p>
    <w:p w14:paraId="5D9C030D" w14:textId="77777777" w:rsidR="00C916FE" w:rsidRDefault="00C916FE" w:rsidP="00C916FE">
      <w:pPr>
        <w:pStyle w:val="Bibliography"/>
      </w:pPr>
      <w:r>
        <w:t xml:space="preserve">Chen, F., Shao, M., Chen, W., &amp; Wang, F. (2024). Environmental regulation, energy consumption structure, and industrial pollution emissions. </w:t>
      </w:r>
      <w:r>
        <w:rPr>
          <w:i/>
          <w:iCs/>
        </w:rPr>
        <w:t>Environmental Research Communications</w:t>
      </w:r>
      <w:r>
        <w:t xml:space="preserve">, </w:t>
      </w:r>
      <w:r>
        <w:rPr>
          <w:i/>
          <w:iCs/>
        </w:rPr>
        <w:t>6</w:t>
      </w:r>
      <w:r>
        <w:t>(1), 015011. https://doi.org/10.1088/2515-7620/ad1ed5</w:t>
      </w:r>
    </w:p>
    <w:p w14:paraId="452DF6D1" w14:textId="77777777" w:rsidR="00C916FE" w:rsidRDefault="00C916FE" w:rsidP="00C916FE">
      <w:pPr>
        <w:pStyle w:val="Bibliography"/>
      </w:pPr>
      <w:r>
        <w:t xml:space="preserve">Chen, R., Howley, P., &amp; Kesidou, E. (2024). The impact of ETS on productivity in developing economies: A micro-econometric evaluation with Chinese firm-level data. </w:t>
      </w:r>
      <w:r>
        <w:rPr>
          <w:i/>
          <w:iCs/>
        </w:rPr>
        <w:t>Energy Economics</w:t>
      </w:r>
      <w:r>
        <w:t xml:space="preserve">, </w:t>
      </w:r>
      <w:r>
        <w:rPr>
          <w:i/>
          <w:iCs/>
        </w:rPr>
        <w:t>131</w:t>
      </w:r>
      <w:r>
        <w:t>, 107376. https://doi.org/10.1016/j.eneco.2024.107376</w:t>
      </w:r>
    </w:p>
    <w:p w14:paraId="0F629BC0" w14:textId="77777777" w:rsidR="00C916FE" w:rsidRDefault="00C916FE" w:rsidP="00C916FE">
      <w:pPr>
        <w:pStyle w:val="Bibliography"/>
      </w:pPr>
      <w:r>
        <w:t xml:space="preserve">Cho, W., Kim, D., &amp; Y. S. Park, A. (2023). Local Government’s Resource Commitment to Environmental Sustainability: Capacity, Conservatism, and Contractual Dynamics. </w:t>
      </w:r>
      <w:r>
        <w:rPr>
          <w:i/>
          <w:iCs/>
        </w:rPr>
        <w:t>Urban Affairs Review</w:t>
      </w:r>
      <w:r>
        <w:t xml:space="preserve">, </w:t>
      </w:r>
      <w:r>
        <w:rPr>
          <w:i/>
          <w:iCs/>
        </w:rPr>
        <w:t>59</w:t>
      </w:r>
      <w:r>
        <w:t>(2), 447–475. https://doi.org/10.1177/10780874211064976</w:t>
      </w:r>
    </w:p>
    <w:p w14:paraId="54FDD6D6" w14:textId="77777777" w:rsidR="00C916FE" w:rsidRDefault="00C916FE" w:rsidP="00C916FE">
      <w:pPr>
        <w:pStyle w:val="Bibliography"/>
      </w:pPr>
      <w:r>
        <w:t xml:space="preserve">Cong, J., Zhang, W., Guo, H., &amp; Zhao, Y. (2024). Possible green-technology innovation motivated by China’s pilot carbon market: New evidence from city panel data. </w:t>
      </w:r>
      <w:r>
        <w:rPr>
          <w:i/>
          <w:iCs/>
        </w:rPr>
        <w:t>Climate Policy</w:t>
      </w:r>
      <w:r>
        <w:t xml:space="preserve">, </w:t>
      </w:r>
      <w:r>
        <w:rPr>
          <w:i/>
          <w:iCs/>
        </w:rPr>
        <w:t>24</w:t>
      </w:r>
      <w:r>
        <w:t>(4), 558–571. https://doi.org/10.1080/14693062.2023.2273939</w:t>
      </w:r>
    </w:p>
    <w:p w14:paraId="2927B186" w14:textId="77777777" w:rsidR="00C916FE" w:rsidRDefault="00C916FE" w:rsidP="00C916FE">
      <w:pPr>
        <w:pStyle w:val="Bibliography"/>
      </w:pPr>
      <w:r>
        <w:t>Dong, F., Chen, Y., Sun, J., Li, J., Wang, L., Dong, T., &amp; Cui, J. (2024). Measurement and decomposition of environmental efficiency in the power industry based on multi-</w:t>
      </w:r>
      <w:r>
        <w:lastRenderedPageBreak/>
        <w:t xml:space="preserve">hierarchy meta-frontier BAM model. </w:t>
      </w:r>
      <w:r>
        <w:rPr>
          <w:i/>
          <w:iCs/>
        </w:rPr>
        <w:t>Journal of Cleaner Production</w:t>
      </w:r>
      <w:r>
        <w:t xml:space="preserve">, </w:t>
      </w:r>
      <w:r>
        <w:rPr>
          <w:i/>
          <w:iCs/>
        </w:rPr>
        <w:t>441</w:t>
      </w:r>
      <w:r>
        <w:t>, 140818. https://doi.org/10.1016/j.jclepro.2024.140818</w:t>
      </w:r>
    </w:p>
    <w:p w14:paraId="72D23D17" w14:textId="77777777" w:rsidR="00C916FE" w:rsidRDefault="00C916FE" w:rsidP="00C916FE">
      <w:pPr>
        <w:pStyle w:val="Bibliography"/>
      </w:pPr>
      <w:r>
        <w:t xml:space="preserve">Dong, H., Liu, W., Liu, Y., &amp; Xiong, Z. (2022). Fixed asset changes with carbon regulation: The cases of China. </w:t>
      </w:r>
      <w:r>
        <w:rPr>
          <w:i/>
          <w:iCs/>
        </w:rPr>
        <w:t>Journal of Environmental Management</w:t>
      </w:r>
      <w:r>
        <w:t xml:space="preserve">, </w:t>
      </w:r>
      <w:r>
        <w:rPr>
          <w:i/>
          <w:iCs/>
        </w:rPr>
        <w:t>306</w:t>
      </w:r>
      <w:r>
        <w:t>, 114494. https://doi.org/10.1016/j.jenvman.2022.114494</w:t>
      </w:r>
    </w:p>
    <w:p w14:paraId="067E8C47" w14:textId="77777777" w:rsidR="00C916FE" w:rsidRDefault="00C916FE" w:rsidP="00C916FE">
      <w:pPr>
        <w:pStyle w:val="Bibliography"/>
      </w:pPr>
      <w:r>
        <w:t xml:space="preserve">Du, J., Liang, L., &amp; Zhu, J. (2010). A slacks-based measure of super-efficiency in data envelopment analysis: A comment. </w:t>
      </w:r>
      <w:r>
        <w:rPr>
          <w:i/>
          <w:iCs/>
        </w:rPr>
        <w:t>European Journal of Operational Research</w:t>
      </w:r>
      <w:r>
        <w:t xml:space="preserve">, </w:t>
      </w:r>
      <w:r>
        <w:rPr>
          <w:i/>
          <w:iCs/>
        </w:rPr>
        <w:t>204</w:t>
      </w:r>
      <w:r>
        <w:t>(3), 694–697. https://doi.org/10.1016/j.ejor.2009.12.007</w:t>
      </w:r>
    </w:p>
    <w:p w14:paraId="3FD82914" w14:textId="77777777" w:rsidR="00C916FE" w:rsidRDefault="00C916FE" w:rsidP="00C916FE">
      <w:pPr>
        <w:pStyle w:val="Bibliography"/>
      </w:pPr>
      <w:r>
        <w:t xml:space="preserve">Du, K., Cheng, Y., &amp; Yao, X. (2021). Environmental regulation, green technology innovation, and industrial structure upgrading: The road to the green transformation of Chinese cities. </w:t>
      </w:r>
      <w:r>
        <w:rPr>
          <w:i/>
          <w:iCs/>
        </w:rPr>
        <w:t>Energy Economics</w:t>
      </w:r>
      <w:r>
        <w:t xml:space="preserve">, </w:t>
      </w:r>
      <w:r>
        <w:rPr>
          <w:i/>
          <w:iCs/>
        </w:rPr>
        <w:t>98</w:t>
      </w:r>
      <w:r>
        <w:t>, 105247. https://doi.org/10.1016/j.eneco.2021.105247</w:t>
      </w:r>
    </w:p>
    <w:p w14:paraId="62ACC153" w14:textId="77777777" w:rsidR="00C916FE" w:rsidRDefault="00C916FE" w:rsidP="00C916FE">
      <w:pPr>
        <w:pStyle w:val="Bibliography"/>
      </w:pPr>
      <w:r>
        <w:t xml:space="preserve">Eguchi, S., Takayabu, H., &amp; Lin, C. (2021). Sources of inefficient power generation by coal-fired thermal power plants in China: A </w:t>
      </w:r>
      <w:proofErr w:type="spellStart"/>
      <w:r>
        <w:t>metafrontier</w:t>
      </w:r>
      <w:proofErr w:type="spellEnd"/>
      <w:r>
        <w:t xml:space="preserve"> DEA decomposition approach. </w:t>
      </w:r>
      <w:r>
        <w:rPr>
          <w:i/>
          <w:iCs/>
        </w:rPr>
        <w:t>Renewable and Sustainable Energy Reviews</w:t>
      </w:r>
      <w:r>
        <w:t xml:space="preserve">, </w:t>
      </w:r>
      <w:r>
        <w:rPr>
          <w:i/>
          <w:iCs/>
        </w:rPr>
        <w:t>138</w:t>
      </w:r>
      <w:r>
        <w:t>, 110562. https://doi.org/10.1016/j.rser.2020.110562</w:t>
      </w:r>
    </w:p>
    <w:p w14:paraId="18817DEC" w14:textId="77777777" w:rsidR="00C916FE" w:rsidRDefault="00C916FE" w:rsidP="00C916FE">
      <w:pPr>
        <w:pStyle w:val="Bibliography"/>
      </w:pPr>
      <w:r>
        <w:t xml:space="preserve">Emrouznejad, A., &amp; Yang, G. (2016). A framework for measuring global Malmquist–Luenberger productivity index with CO2 emissions on Chinese manufacturing industries. </w:t>
      </w:r>
      <w:r>
        <w:rPr>
          <w:i/>
          <w:iCs/>
        </w:rPr>
        <w:t>Energy</w:t>
      </w:r>
      <w:r>
        <w:t xml:space="preserve">, </w:t>
      </w:r>
      <w:r>
        <w:rPr>
          <w:i/>
          <w:iCs/>
        </w:rPr>
        <w:t>115</w:t>
      </w:r>
      <w:r>
        <w:t>, 840–856. https://doi.org/10.1016/j.energy.2016.09.032</w:t>
      </w:r>
    </w:p>
    <w:p w14:paraId="3AC8885F" w14:textId="77777777" w:rsidR="00C916FE" w:rsidRDefault="00C916FE" w:rsidP="00C916FE">
      <w:pPr>
        <w:pStyle w:val="Bibliography"/>
      </w:pPr>
      <w:r>
        <w:t xml:space="preserve">Fan, X., Chen, K., &amp; Chen, Y.-J. (2023). Is Price Commitment a Better Solution to Control Carbon Emissions and Promote Technology Investment? </w:t>
      </w:r>
      <w:r>
        <w:rPr>
          <w:i/>
          <w:iCs/>
        </w:rPr>
        <w:t>Management Science</w:t>
      </w:r>
      <w:r>
        <w:t xml:space="preserve">, </w:t>
      </w:r>
      <w:r>
        <w:rPr>
          <w:i/>
          <w:iCs/>
        </w:rPr>
        <w:t>69</w:t>
      </w:r>
      <w:r>
        <w:t>(1), 325–341. https://doi.org/10.1287/mnsc.2022.4365</w:t>
      </w:r>
    </w:p>
    <w:p w14:paraId="3A2482D9" w14:textId="77777777" w:rsidR="00C916FE" w:rsidRDefault="00C916FE" w:rsidP="00C916FE">
      <w:pPr>
        <w:pStyle w:val="Bibliography"/>
      </w:pPr>
      <w:r>
        <w:lastRenderedPageBreak/>
        <w:t xml:space="preserve">Fang, T., Fang, D., &amp; Yu, B. (2022). Carbon emission efficiency of thermal power generation in China: Empirical evidence from the micro-perspective of power plants. </w:t>
      </w:r>
      <w:r>
        <w:rPr>
          <w:i/>
          <w:iCs/>
        </w:rPr>
        <w:t>Energy Policy</w:t>
      </w:r>
      <w:r>
        <w:t xml:space="preserve">, </w:t>
      </w:r>
      <w:r>
        <w:rPr>
          <w:i/>
          <w:iCs/>
        </w:rPr>
        <w:t>165</w:t>
      </w:r>
      <w:r>
        <w:t>, 112955. https://doi.org/10.1016/j.enpol.2022.112955</w:t>
      </w:r>
    </w:p>
    <w:p w14:paraId="25BC8C9C" w14:textId="77777777" w:rsidR="00C916FE" w:rsidRDefault="00C916FE" w:rsidP="00C916FE">
      <w:pPr>
        <w:pStyle w:val="Bibliography"/>
      </w:pPr>
      <w:r>
        <w:t xml:space="preserve">Feng, Y., Lu, C.-C., Lin, I.-F., Yang, A.-C., &amp; Lin, P.-C. (2022). Total Factor Energy Efficiency of China’s Thermal Power Industry. </w:t>
      </w:r>
      <w:r>
        <w:rPr>
          <w:i/>
          <w:iCs/>
        </w:rPr>
        <w:t>Sustainability</w:t>
      </w:r>
      <w:r>
        <w:t xml:space="preserve">, </w:t>
      </w:r>
      <w:r>
        <w:rPr>
          <w:i/>
          <w:iCs/>
        </w:rPr>
        <w:t>14</w:t>
      </w:r>
      <w:r>
        <w:t>(1), 504. https://doi.org/10.3390/su14010504</w:t>
      </w:r>
    </w:p>
    <w:p w14:paraId="4D6B04FA" w14:textId="77777777" w:rsidR="00C916FE" w:rsidRDefault="00C916FE" w:rsidP="00C916FE">
      <w:pPr>
        <w:pStyle w:val="Bibliography"/>
      </w:pPr>
      <w:r>
        <w:t xml:space="preserve">He, C., Xiang, P., &amp; Jiang, K. (2023). Clean Coal Technologies: Transition to a Low Emission Future. In H. Akimoto &amp; H. Tanimoto (Eds.), </w:t>
      </w:r>
      <w:r>
        <w:rPr>
          <w:i/>
          <w:iCs/>
        </w:rPr>
        <w:t>Handbook of Air Quality and Climate Change</w:t>
      </w:r>
      <w:r>
        <w:t xml:space="preserve"> (pp. 1–32). Springer Nature Singapore. https://doi.org/10.1007/978-981-15-2527-8_41-1</w:t>
      </w:r>
    </w:p>
    <w:p w14:paraId="1DAACF87" w14:textId="77777777" w:rsidR="00C916FE" w:rsidRDefault="00C916FE" w:rsidP="00C916FE">
      <w:pPr>
        <w:pStyle w:val="Bibliography"/>
      </w:pPr>
      <w:r>
        <w:t xml:space="preserve">Hossain, M. R., Rao, A., Sharma, G. D., Dev, D., &amp; Kharbanda, A. (2024). Empowering energy transition: </w:t>
      </w:r>
      <w:proofErr w:type="gramStart"/>
      <w:r>
        <w:t>Green</w:t>
      </w:r>
      <w:proofErr w:type="gramEnd"/>
      <w:r>
        <w:t xml:space="preserve"> innovation, digital finance, and the path to sustainable prosperity through green finance initiatives. </w:t>
      </w:r>
      <w:r>
        <w:rPr>
          <w:i/>
          <w:iCs/>
        </w:rPr>
        <w:t>Energy Economics</w:t>
      </w:r>
      <w:r>
        <w:t xml:space="preserve">, </w:t>
      </w:r>
      <w:r>
        <w:rPr>
          <w:i/>
          <w:iCs/>
        </w:rPr>
        <w:t>136</w:t>
      </w:r>
      <w:r>
        <w:t>, 107736. https://doi.org/10.1016/j.eneco.2024.107736</w:t>
      </w:r>
    </w:p>
    <w:p w14:paraId="3CE82651" w14:textId="77777777" w:rsidR="00C916FE" w:rsidRDefault="00C916FE" w:rsidP="00C916FE">
      <w:pPr>
        <w:pStyle w:val="Bibliography"/>
      </w:pPr>
      <w:r>
        <w:t xml:space="preserve">Jiang, N., Zhang, C., Su, W., Jin, H., &amp; Balezentis, T. (2024). Towards carbon‐neutral society: Reconciling peak carbon strategy and thermal power generation via regional eco‐efficiency analysis. </w:t>
      </w:r>
      <w:r>
        <w:rPr>
          <w:i/>
          <w:iCs/>
        </w:rPr>
        <w:t>Sustainable Development</w:t>
      </w:r>
      <w:r>
        <w:t xml:space="preserve">, </w:t>
      </w:r>
      <w:r>
        <w:rPr>
          <w:i/>
          <w:iCs/>
        </w:rPr>
        <w:t>32</w:t>
      </w:r>
      <w:r>
        <w:t>(4), 2944–2961. https://doi.org/10.1002/sd.2815</w:t>
      </w:r>
    </w:p>
    <w:p w14:paraId="3112B4B6" w14:textId="77777777" w:rsidR="00C916FE" w:rsidRDefault="00C916FE" w:rsidP="00C916FE">
      <w:pPr>
        <w:pStyle w:val="Bibliography"/>
      </w:pPr>
      <w:r>
        <w:t xml:space="preserve">Jin, X., Wang, L., Xie, Q., Li, Y., &amp; Liang, L. (2024). Taxing for a Green Future: How China’s Environmental Protection Tax Law Drives Energy Efficiency. </w:t>
      </w:r>
      <w:r>
        <w:rPr>
          <w:i/>
          <w:iCs/>
        </w:rPr>
        <w:t>International Journal of Environmental Research</w:t>
      </w:r>
      <w:r>
        <w:t xml:space="preserve">, </w:t>
      </w:r>
      <w:r>
        <w:rPr>
          <w:i/>
          <w:iCs/>
        </w:rPr>
        <w:t>18</w:t>
      </w:r>
      <w:r>
        <w:t>(2), 33. https://doi.org/10.1007/s41742-024-00584-8</w:t>
      </w:r>
    </w:p>
    <w:p w14:paraId="35AB884E" w14:textId="77777777" w:rsidR="00C916FE" w:rsidRDefault="00C916FE" w:rsidP="00C916FE">
      <w:pPr>
        <w:pStyle w:val="Bibliography"/>
      </w:pPr>
      <w:r>
        <w:lastRenderedPageBreak/>
        <w:t xml:space="preserve">Jindal, A., </w:t>
      </w:r>
      <w:proofErr w:type="spellStart"/>
      <w:r>
        <w:t>Nilakantan</w:t>
      </w:r>
      <w:proofErr w:type="spellEnd"/>
      <w:r>
        <w:t xml:space="preserve">, R., &amp; Sinha, A. (2024). CO2 emissions abatement costs and drivers for Indian thermal power industry. </w:t>
      </w:r>
      <w:r>
        <w:rPr>
          <w:i/>
          <w:iCs/>
        </w:rPr>
        <w:t>Energy Policy</w:t>
      </w:r>
      <w:r>
        <w:t xml:space="preserve">, </w:t>
      </w:r>
      <w:r>
        <w:rPr>
          <w:i/>
          <w:iCs/>
        </w:rPr>
        <w:t>184</w:t>
      </w:r>
      <w:r>
        <w:t>, 113865. https://doi.org/10.1016/j.enpol.2023.113865</w:t>
      </w:r>
    </w:p>
    <w:p w14:paraId="1098D82E" w14:textId="77777777" w:rsidR="00C916FE" w:rsidRDefault="00C916FE" w:rsidP="00C916FE">
      <w:pPr>
        <w:pStyle w:val="Bibliography"/>
      </w:pPr>
      <w:r>
        <w:t xml:space="preserve">Kabeyi, M. J. B., &amp; Olanrewaju, O. A. (2022). Sustainable Energy Transition for Renewable and Low Carbon Grid Electricity Generation and Supply. </w:t>
      </w:r>
      <w:r>
        <w:rPr>
          <w:i/>
          <w:iCs/>
        </w:rPr>
        <w:t>Frontiers in Energy Research</w:t>
      </w:r>
      <w:r>
        <w:t xml:space="preserve">, </w:t>
      </w:r>
      <w:r>
        <w:rPr>
          <w:i/>
          <w:iCs/>
        </w:rPr>
        <w:t>9</w:t>
      </w:r>
      <w:r>
        <w:t>, 743114. https://doi.org/10.3389/fenrg.2021.743114</w:t>
      </w:r>
    </w:p>
    <w:p w14:paraId="52AA06E5" w14:textId="77777777" w:rsidR="00C916FE" w:rsidRDefault="00C916FE" w:rsidP="00C916FE">
      <w:pPr>
        <w:pStyle w:val="Bibliography"/>
      </w:pPr>
      <w:r>
        <w:t xml:space="preserve">Kenneth David, L., Wang, J., Angel, V., &amp; Luo, M. (2024). Environmental commitments and Innovation in China’s corporate landscape: An analysis of ESG governance strategies. </w:t>
      </w:r>
      <w:r>
        <w:rPr>
          <w:i/>
          <w:iCs/>
        </w:rPr>
        <w:t>Journal of Environmental Management</w:t>
      </w:r>
      <w:r>
        <w:t xml:space="preserve">, </w:t>
      </w:r>
      <w:r>
        <w:rPr>
          <w:i/>
          <w:iCs/>
        </w:rPr>
        <w:t>349</w:t>
      </w:r>
      <w:r>
        <w:t>, 119529. https://doi.org/10.1016/j.jenvman.2023.119529</w:t>
      </w:r>
    </w:p>
    <w:p w14:paraId="5FD76325" w14:textId="77777777" w:rsidR="00C916FE" w:rsidRDefault="00C916FE" w:rsidP="00C916FE">
      <w:pPr>
        <w:pStyle w:val="Bibliography"/>
      </w:pPr>
      <w:r>
        <w:t xml:space="preserve">Li, G., Niu, M., Xiao, J., Wu, J., &amp; Li, J. (2023). The rebound effect of decarbonization in China’s power sector under the carbon trading scheme. </w:t>
      </w:r>
      <w:r>
        <w:rPr>
          <w:i/>
          <w:iCs/>
        </w:rPr>
        <w:t>Energy Policy</w:t>
      </w:r>
      <w:r>
        <w:t xml:space="preserve">, </w:t>
      </w:r>
      <w:r>
        <w:rPr>
          <w:i/>
          <w:iCs/>
        </w:rPr>
        <w:t>177</w:t>
      </w:r>
      <w:r>
        <w:t>, 113543. https://doi.org/10.1016/j.enpol.2023.113543</w:t>
      </w:r>
    </w:p>
    <w:p w14:paraId="6503681E" w14:textId="77777777" w:rsidR="00C916FE" w:rsidRDefault="00C916FE" w:rsidP="00C916FE">
      <w:pPr>
        <w:pStyle w:val="Bibliography"/>
      </w:pPr>
      <w:r>
        <w:t xml:space="preserve">Li, G., </w:t>
      </w:r>
      <w:proofErr w:type="spellStart"/>
      <w:r>
        <w:t>Ruonan</w:t>
      </w:r>
      <w:proofErr w:type="spellEnd"/>
      <w:r>
        <w:t xml:space="preserve">, L., </w:t>
      </w:r>
      <w:proofErr w:type="spellStart"/>
      <w:r>
        <w:t>Yingdan</w:t>
      </w:r>
      <w:proofErr w:type="spellEnd"/>
      <w:r>
        <w:t>, M., &amp; Xiaoli, Z. (2022). Improve technical efficiency of China’s coal-fired power enterprises: Taking a coal-fired-</w:t>
      </w:r>
      <w:proofErr w:type="spellStart"/>
      <w:r>
        <w:t>withdrawl</w:t>
      </w:r>
      <w:proofErr w:type="spellEnd"/>
      <w:r>
        <w:t xml:space="preserve"> context. </w:t>
      </w:r>
      <w:r>
        <w:rPr>
          <w:i/>
          <w:iCs/>
        </w:rPr>
        <w:t>Energy</w:t>
      </w:r>
      <w:r>
        <w:t xml:space="preserve">, </w:t>
      </w:r>
      <w:r>
        <w:rPr>
          <w:i/>
          <w:iCs/>
        </w:rPr>
        <w:t>252</w:t>
      </w:r>
      <w:r>
        <w:t>, 123979. https://doi.org/10.1016/j.energy.2022.123979</w:t>
      </w:r>
    </w:p>
    <w:p w14:paraId="4EBE3365" w14:textId="77777777" w:rsidR="00C916FE" w:rsidRDefault="00C916FE" w:rsidP="00C916FE">
      <w:pPr>
        <w:pStyle w:val="Bibliography"/>
      </w:pPr>
      <w:r>
        <w:t xml:space="preserve">Li, X., Cao, A., Zhang, Y., Zhao, Y., Chen, L., Jiang, P., &amp; Liu, L. (2024). Practical effects of carbon emissions trading system on energy efficiency. </w:t>
      </w:r>
      <w:r>
        <w:rPr>
          <w:i/>
          <w:iCs/>
        </w:rPr>
        <w:t>Scientific Reports</w:t>
      </w:r>
      <w:r>
        <w:t xml:space="preserve">, </w:t>
      </w:r>
      <w:r>
        <w:rPr>
          <w:i/>
          <w:iCs/>
        </w:rPr>
        <w:t>14</w:t>
      </w:r>
      <w:r>
        <w:t>(1), 279. https://doi.org/10.1038/s41598-023-50621-3</w:t>
      </w:r>
    </w:p>
    <w:p w14:paraId="71C68421" w14:textId="77777777" w:rsidR="00C916FE" w:rsidRDefault="00C916FE" w:rsidP="00C916FE">
      <w:pPr>
        <w:pStyle w:val="Bibliography"/>
      </w:pPr>
      <w:r>
        <w:t xml:space="preserve">Li, Y. (2014). Environmental innovation practices and performance: Moderating effect of resource commitment. </w:t>
      </w:r>
      <w:r>
        <w:rPr>
          <w:i/>
          <w:iCs/>
        </w:rPr>
        <w:t>Journal of Cleaner Production</w:t>
      </w:r>
      <w:r>
        <w:t xml:space="preserve">, </w:t>
      </w:r>
      <w:r>
        <w:rPr>
          <w:i/>
          <w:iCs/>
        </w:rPr>
        <w:t>66</w:t>
      </w:r>
      <w:r>
        <w:t>, 450–458. https://doi.org/10.1016/j.jclepro.2013.11.044</w:t>
      </w:r>
    </w:p>
    <w:p w14:paraId="67C7C90B" w14:textId="77777777" w:rsidR="00C916FE" w:rsidRDefault="00C916FE" w:rsidP="00C916FE">
      <w:pPr>
        <w:pStyle w:val="Bibliography"/>
      </w:pPr>
      <w:r>
        <w:lastRenderedPageBreak/>
        <w:t xml:space="preserve">Liu, M., Shan, Y., &amp; Li, Y. (2022). Study on the effect of carbon trading regulation on green innovation and heterogeneity analysis from China. </w:t>
      </w:r>
      <w:r>
        <w:rPr>
          <w:i/>
          <w:iCs/>
        </w:rPr>
        <w:t>Energy Policy</w:t>
      </w:r>
      <w:r>
        <w:t xml:space="preserve">, </w:t>
      </w:r>
      <w:r>
        <w:rPr>
          <w:i/>
          <w:iCs/>
        </w:rPr>
        <w:t>171</w:t>
      </w:r>
      <w:r>
        <w:t>, 113290. https://doi.org/10.1016/j.enpol.2022.113290</w:t>
      </w:r>
    </w:p>
    <w:p w14:paraId="767889ED" w14:textId="77777777" w:rsidR="00C916FE" w:rsidRDefault="00C916FE" w:rsidP="00C916FE">
      <w:pPr>
        <w:pStyle w:val="Bibliography"/>
      </w:pPr>
      <w:r>
        <w:t xml:space="preserve">Liu, Y., &amp; Feng, C. (2023). Promoting renewable energy through national energy legislation. </w:t>
      </w:r>
      <w:r>
        <w:rPr>
          <w:i/>
          <w:iCs/>
        </w:rPr>
        <w:t>Energy Economics</w:t>
      </w:r>
      <w:r>
        <w:t xml:space="preserve">, </w:t>
      </w:r>
      <w:r>
        <w:rPr>
          <w:i/>
          <w:iCs/>
        </w:rPr>
        <w:t>118</w:t>
      </w:r>
      <w:r>
        <w:t>, 106504. https://doi.org/10.1016/j.eneco.2023.106504</w:t>
      </w:r>
    </w:p>
    <w:p w14:paraId="09504EA0" w14:textId="77777777" w:rsidR="00C916FE" w:rsidRDefault="00C916FE" w:rsidP="00C916FE">
      <w:pPr>
        <w:pStyle w:val="Bibliography"/>
      </w:pPr>
      <w:r>
        <w:t xml:space="preserve">Luo, G., Guo, J., Yang, F., &amp; Wang, C. (2023). Environmental regulation, green innovation and high-quality development of enterprise: Evidence from China. </w:t>
      </w:r>
      <w:r>
        <w:rPr>
          <w:i/>
          <w:iCs/>
        </w:rPr>
        <w:t>Journal of Cleaner Production</w:t>
      </w:r>
      <w:r>
        <w:t xml:space="preserve">, </w:t>
      </w:r>
      <w:r>
        <w:rPr>
          <w:i/>
          <w:iCs/>
        </w:rPr>
        <w:t>418</w:t>
      </w:r>
      <w:r>
        <w:t>, 138112. https://doi.org/10.1016/j.jclepro.2023.138112</w:t>
      </w:r>
    </w:p>
    <w:p w14:paraId="68E4F79C" w14:textId="77777777" w:rsidR="00C916FE" w:rsidRDefault="00C916FE" w:rsidP="00C916FE">
      <w:pPr>
        <w:pStyle w:val="Bibliography"/>
      </w:pPr>
      <w:r>
        <w:t xml:space="preserve">Ma, G., Qin, J., &amp; Zhang, Y. (2023). Does the carbon emissions trading system reduce carbon emissions by promoting two-way FDI in developing countries? Evidence from Chinese listed companies and cities. </w:t>
      </w:r>
      <w:r>
        <w:rPr>
          <w:i/>
          <w:iCs/>
        </w:rPr>
        <w:t>Energy Economics</w:t>
      </w:r>
      <w:r>
        <w:t xml:space="preserve">, </w:t>
      </w:r>
      <w:r>
        <w:rPr>
          <w:i/>
          <w:iCs/>
        </w:rPr>
        <w:t>120</w:t>
      </w:r>
      <w:r>
        <w:t>, 106581. https://doi.org/10.1016/j.eneco.2023.106581</w:t>
      </w:r>
    </w:p>
    <w:p w14:paraId="32FC114F" w14:textId="77777777" w:rsidR="00C916FE" w:rsidRDefault="00C916FE" w:rsidP="00C916FE">
      <w:pPr>
        <w:pStyle w:val="Bibliography"/>
      </w:pPr>
      <w:r>
        <w:t xml:space="preserve">Meng, M., &amp; Pang, T. (2023). Total‐factor generation performance analysis of China’s thermal power industry using meta‐frontier </w:t>
      </w:r>
      <w:proofErr w:type="spellStart"/>
      <w:r>
        <w:t>nonradial</w:t>
      </w:r>
      <w:proofErr w:type="spellEnd"/>
      <w:r>
        <w:t xml:space="preserve"> distance function approach. </w:t>
      </w:r>
      <w:r>
        <w:rPr>
          <w:i/>
          <w:iCs/>
        </w:rPr>
        <w:t>Energy Science &amp; Engineering</w:t>
      </w:r>
      <w:r>
        <w:t xml:space="preserve">, </w:t>
      </w:r>
      <w:r>
        <w:rPr>
          <w:i/>
          <w:iCs/>
        </w:rPr>
        <w:t>11</w:t>
      </w:r>
      <w:r>
        <w:t>(7), 2668–2685. https://doi.org/10.1002/ese3.1468</w:t>
      </w:r>
    </w:p>
    <w:p w14:paraId="0B30E449" w14:textId="77777777" w:rsidR="00C916FE" w:rsidRDefault="00C916FE" w:rsidP="00C916FE">
      <w:pPr>
        <w:pStyle w:val="Bibliography"/>
      </w:pPr>
      <w:r>
        <w:t xml:space="preserve">Meng, M., Pang, T., &amp; Li, X. (2023). Assessing the total factor productivity of China’s thermal power industry using a network DEA approach with cross-efficiency. </w:t>
      </w:r>
      <w:r>
        <w:rPr>
          <w:i/>
          <w:iCs/>
        </w:rPr>
        <w:t>Energy Reports</w:t>
      </w:r>
      <w:r>
        <w:t xml:space="preserve">, </w:t>
      </w:r>
      <w:r>
        <w:rPr>
          <w:i/>
          <w:iCs/>
        </w:rPr>
        <w:t>9</w:t>
      </w:r>
      <w:r>
        <w:t>, 5196–5205. https://doi.org/10.1016/j.egyr.2023.04.050</w:t>
      </w:r>
    </w:p>
    <w:p w14:paraId="6DB27D2A" w14:textId="77777777" w:rsidR="00C916FE" w:rsidRDefault="00C916FE" w:rsidP="00C916FE">
      <w:pPr>
        <w:pStyle w:val="Bibliography"/>
      </w:pPr>
      <w:r>
        <w:t xml:space="preserve">Meng, X., &amp; Yu, Y. (2023). Can renewable energy portfolio standards and carbon tax policies promote carbon emission reduction in China’s power industry? </w:t>
      </w:r>
      <w:r>
        <w:rPr>
          <w:i/>
          <w:iCs/>
        </w:rPr>
        <w:t>Energy Policy</w:t>
      </w:r>
      <w:r>
        <w:t xml:space="preserve">, </w:t>
      </w:r>
      <w:r>
        <w:rPr>
          <w:i/>
          <w:iCs/>
        </w:rPr>
        <w:t>174</w:t>
      </w:r>
      <w:r>
        <w:t>, 113461. https://doi.org/10.1016/j.enpol.2023.113461</w:t>
      </w:r>
    </w:p>
    <w:p w14:paraId="73789A62" w14:textId="77777777" w:rsidR="00C916FE" w:rsidRDefault="00C916FE" w:rsidP="00C916FE">
      <w:pPr>
        <w:pStyle w:val="Bibliography"/>
      </w:pPr>
      <w:r>
        <w:lastRenderedPageBreak/>
        <w:t xml:space="preserve">Nakaishi, T., Nagashima, F., &amp; Kagawa, S. (2022). Spatial autocorrelation analysis of the environmental efficiency of coal-fired power plants in China. </w:t>
      </w:r>
      <w:r>
        <w:rPr>
          <w:i/>
          <w:iCs/>
        </w:rPr>
        <w:t>Clean Technologies and Environmental Policy</w:t>
      </w:r>
      <w:r>
        <w:t xml:space="preserve">, </w:t>
      </w:r>
      <w:r>
        <w:rPr>
          <w:i/>
          <w:iCs/>
        </w:rPr>
        <w:t>24</w:t>
      </w:r>
      <w:r>
        <w:t>(7), 2177–2192. https://doi.org/10.1007/s10098-022-02310-4</w:t>
      </w:r>
    </w:p>
    <w:p w14:paraId="74C7919E" w14:textId="77777777" w:rsidR="00C916FE" w:rsidRDefault="00C916FE" w:rsidP="00C916FE">
      <w:pPr>
        <w:pStyle w:val="Bibliography"/>
      </w:pPr>
      <w:r>
        <w:t xml:space="preserve">Nakaishi, T., Nagashima, F., Kagawa, S., Nansai, K., &amp; Chatani, S. (2023). Quantifying the health benefits of improving environmental efficiency: A case study from coal power plants in China. </w:t>
      </w:r>
      <w:r>
        <w:rPr>
          <w:i/>
          <w:iCs/>
        </w:rPr>
        <w:t>Energy Economics</w:t>
      </w:r>
      <w:r>
        <w:t xml:space="preserve">, </w:t>
      </w:r>
      <w:r>
        <w:rPr>
          <w:i/>
          <w:iCs/>
        </w:rPr>
        <w:t>121</w:t>
      </w:r>
      <w:r>
        <w:t>, 106672. https://doi.org/10.1016/j.eneco.2023.106672</w:t>
      </w:r>
    </w:p>
    <w:p w14:paraId="272A4985" w14:textId="77777777" w:rsidR="00C916FE" w:rsidRDefault="00C916FE" w:rsidP="00C916FE">
      <w:pPr>
        <w:pStyle w:val="Bibliography"/>
      </w:pPr>
      <w:r>
        <w:t xml:space="preserve">Nakaishi, T., Takayabu, H., &amp; Eguchi, S. (2021). Environmental efficiency analysis of China’s coal-fired power plants considering heterogeneity in power generation company groups. </w:t>
      </w:r>
      <w:r>
        <w:rPr>
          <w:i/>
          <w:iCs/>
        </w:rPr>
        <w:t>Energy Economics</w:t>
      </w:r>
      <w:r>
        <w:t xml:space="preserve">, </w:t>
      </w:r>
      <w:r>
        <w:rPr>
          <w:i/>
          <w:iCs/>
        </w:rPr>
        <w:t>102</w:t>
      </w:r>
      <w:r>
        <w:t>, 105511. https://doi.org/10.1016/j.eneco.2021.105511</w:t>
      </w:r>
    </w:p>
    <w:p w14:paraId="1C53352E" w14:textId="77777777" w:rsidR="00C916FE" w:rsidRDefault="00C916FE" w:rsidP="00C916FE">
      <w:pPr>
        <w:pStyle w:val="Bibliography"/>
      </w:pPr>
      <w:r>
        <w:t xml:space="preserve">Ou, K., Shi, Y., &amp; Zhou, W. (2024). An Evolutionary Game Study on Green Technology Innovation of Coal Power Firms under the Dual-Regulatory System. </w:t>
      </w:r>
      <w:r>
        <w:rPr>
          <w:i/>
          <w:iCs/>
        </w:rPr>
        <w:t>Energies</w:t>
      </w:r>
      <w:r>
        <w:t xml:space="preserve">, </w:t>
      </w:r>
      <w:r>
        <w:rPr>
          <w:i/>
          <w:iCs/>
        </w:rPr>
        <w:t>17</w:t>
      </w:r>
      <w:r>
        <w:t>(3), 607. https://doi.org/10.3390/en17030607</w:t>
      </w:r>
    </w:p>
    <w:p w14:paraId="3F2BF296" w14:textId="77777777" w:rsidR="00C916FE" w:rsidRDefault="00C916FE" w:rsidP="00C916FE">
      <w:pPr>
        <w:pStyle w:val="Bibliography"/>
      </w:pPr>
      <w:r>
        <w:t xml:space="preserve">Pan, X., Pu, C., Yuan, S., &amp; Xu, H. (2022). Effect of Chinese </w:t>
      </w:r>
      <w:proofErr w:type="gramStart"/>
      <w:r>
        <w:t>pilots</w:t>
      </w:r>
      <w:proofErr w:type="gramEnd"/>
      <w:r>
        <w:t xml:space="preserve"> carbon emission trading scheme on enterprises’ total factor productivity: The moderating role of government participation and carbon trading market efficiency. </w:t>
      </w:r>
      <w:r>
        <w:rPr>
          <w:i/>
          <w:iCs/>
        </w:rPr>
        <w:t>Journal of Environmental Management</w:t>
      </w:r>
      <w:r>
        <w:t xml:space="preserve">, </w:t>
      </w:r>
      <w:r>
        <w:rPr>
          <w:i/>
          <w:iCs/>
        </w:rPr>
        <w:t>316</w:t>
      </w:r>
      <w:r>
        <w:t>, 115228. https://doi.org/10.1016/j.jenvman.2022.115228</w:t>
      </w:r>
    </w:p>
    <w:p w14:paraId="14064C45" w14:textId="77777777" w:rsidR="00C916FE" w:rsidRDefault="00C916FE" w:rsidP="00C916FE">
      <w:pPr>
        <w:pStyle w:val="Bibliography"/>
      </w:pPr>
      <w:r>
        <w:t xml:space="preserve">Pan, Y., Wu, J., Zhang, C.-C., &amp; Nasir, M. A. (2024). Measuring carbon emission performance in China’s energy market: Evidence from improved non-radial directional distance function data envelopment analysis. </w:t>
      </w:r>
      <w:r>
        <w:rPr>
          <w:i/>
          <w:iCs/>
        </w:rPr>
        <w:t>European Journal of Operational Research</w:t>
      </w:r>
      <w:r>
        <w:t>, S0377221724008889. https://doi.org/10.1016/j.ejor.2024.11.019</w:t>
      </w:r>
    </w:p>
    <w:p w14:paraId="50A8BC7F" w14:textId="77777777" w:rsidR="00C916FE" w:rsidRDefault="00C916FE" w:rsidP="00C916FE">
      <w:pPr>
        <w:pStyle w:val="Bibliography"/>
      </w:pPr>
      <w:r>
        <w:lastRenderedPageBreak/>
        <w:t xml:space="preserve">Porter, M. E., &amp; Linde, C. V. D. (1995). Toward a New Conception of the Environment-Competitiveness Relationship. </w:t>
      </w:r>
      <w:r>
        <w:rPr>
          <w:i/>
          <w:iCs/>
        </w:rPr>
        <w:t>Journal of Economic Perspectives</w:t>
      </w:r>
      <w:r>
        <w:t xml:space="preserve">, </w:t>
      </w:r>
      <w:r>
        <w:rPr>
          <w:i/>
          <w:iCs/>
        </w:rPr>
        <w:t>9</w:t>
      </w:r>
      <w:r>
        <w:t>(4), 97–118. https://doi.org/10.1257/jep.9.4.97</w:t>
      </w:r>
    </w:p>
    <w:p w14:paraId="74542E46" w14:textId="77777777" w:rsidR="00C916FE" w:rsidRDefault="00C916FE" w:rsidP="00C916FE">
      <w:pPr>
        <w:pStyle w:val="Bibliography"/>
      </w:pPr>
      <w:r>
        <w:t xml:space="preserve">Pu, S., &amp; Ouyang, Y. (2023). Can carbon emission trading policy promote green innovation? The perspective of corporate operating difficulties. </w:t>
      </w:r>
      <w:r>
        <w:rPr>
          <w:i/>
          <w:iCs/>
        </w:rPr>
        <w:t>Journal of Cleaner Production</w:t>
      </w:r>
      <w:r>
        <w:t xml:space="preserve">, </w:t>
      </w:r>
      <w:r>
        <w:rPr>
          <w:i/>
          <w:iCs/>
        </w:rPr>
        <w:t>420</w:t>
      </w:r>
      <w:r>
        <w:t>, 138473. https://doi.org/10.1016/j.jclepro.2023.138473</w:t>
      </w:r>
    </w:p>
    <w:p w14:paraId="5C8020F9" w14:textId="77777777" w:rsidR="00C916FE" w:rsidRDefault="00C916FE" w:rsidP="00C916FE">
      <w:pPr>
        <w:pStyle w:val="Bibliography"/>
      </w:pPr>
      <w:r>
        <w:t xml:space="preserve">Ren, F., Liu, X., Charles, V., Zhao, X., &amp; </w:t>
      </w:r>
      <w:proofErr w:type="spellStart"/>
      <w:r>
        <w:t>Balsalobre</w:t>
      </w:r>
      <w:proofErr w:type="spellEnd"/>
      <w:r>
        <w:t xml:space="preserve">-Lorente, D. (2025). Integrated efficiency and influencing factors analysis of ESG and market performance in thermal power enterprises in China: A hybrid perspective based on parallel DEA and a benchmark model. </w:t>
      </w:r>
      <w:r>
        <w:rPr>
          <w:i/>
          <w:iCs/>
        </w:rPr>
        <w:t>Energy Economics</w:t>
      </w:r>
      <w:r>
        <w:t xml:space="preserve">, </w:t>
      </w:r>
      <w:r>
        <w:rPr>
          <w:i/>
          <w:iCs/>
        </w:rPr>
        <w:t>141</w:t>
      </w:r>
      <w:r>
        <w:t>, 108138. https://doi.org/10.1016/j.eneco.2024.108138</w:t>
      </w:r>
    </w:p>
    <w:p w14:paraId="3A7DDFE0" w14:textId="77777777" w:rsidR="00C916FE" w:rsidRDefault="00C916FE" w:rsidP="00C916FE">
      <w:pPr>
        <w:pStyle w:val="Bibliography"/>
      </w:pPr>
      <w:r>
        <w:t xml:space="preserve">Ren, S., Yang, X., Hu, Y., &amp; Chevallier, J. (2022). Emission trading, induced innovation and firm performance. </w:t>
      </w:r>
      <w:r>
        <w:rPr>
          <w:i/>
          <w:iCs/>
        </w:rPr>
        <w:t>Energy Economics</w:t>
      </w:r>
      <w:r>
        <w:t xml:space="preserve">, </w:t>
      </w:r>
      <w:r>
        <w:rPr>
          <w:i/>
          <w:iCs/>
        </w:rPr>
        <w:t>112</w:t>
      </w:r>
      <w:r>
        <w:t>, 106157. https://doi.org/10.1016/j.eneco.2022.106157</w:t>
      </w:r>
    </w:p>
    <w:p w14:paraId="0A02720A" w14:textId="77777777" w:rsidR="00C916FE" w:rsidRDefault="00C916FE" w:rsidP="00C916FE">
      <w:pPr>
        <w:pStyle w:val="Bibliography"/>
      </w:pPr>
      <w:r>
        <w:t xml:space="preserve">Rosenbaum, P. R., &amp; Rubin, D. B. (1985). Constructing a Control Group Using Multivariate Matched Sampling Methods That Incorporate the Propensity Score. </w:t>
      </w:r>
      <w:r>
        <w:rPr>
          <w:i/>
          <w:iCs/>
        </w:rPr>
        <w:t>The American Statistician</w:t>
      </w:r>
      <w:r>
        <w:t xml:space="preserve">, </w:t>
      </w:r>
      <w:r>
        <w:rPr>
          <w:i/>
          <w:iCs/>
        </w:rPr>
        <w:t>39</w:t>
      </w:r>
      <w:r>
        <w:t>(1), 33–38. https://doi.org/10.1080/00031305.1985.10479383</w:t>
      </w:r>
    </w:p>
    <w:p w14:paraId="1ADD9F0F" w14:textId="77777777" w:rsidR="00C916FE" w:rsidRDefault="00C916FE" w:rsidP="00C916FE">
      <w:pPr>
        <w:pStyle w:val="Bibliography"/>
      </w:pPr>
      <w:r>
        <w:t xml:space="preserve">Shu, T., Liao, X., Yang, S., &amp; Yu, T. (2024). Towards sustainability: Evaluating energy efficiency with a super-efficiency SBM-DEA model across 168 economies. </w:t>
      </w:r>
      <w:r>
        <w:rPr>
          <w:i/>
          <w:iCs/>
        </w:rPr>
        <w:t>Applied Energy</w:t>
      </w:r>
      <w:r>
        <w:t xml:space="preserve">, </w:t>
      </w:r>
      <w:r>
        <w:rPr>
          <w:i/>
          <w:iCs/>
        </w:rPr>
        <w:t>376</w:t>
      </w:r>
      <w:r>
        <w:t>, 124254. https://doi.org/10.1016/j.apenergy.2024.124254</w:t>
      </w:r>
    </w:p>
    <w:p w14:paraId="432BC97B" w14:textId="77777777" w:rsidR="00C916FE" w:rsidRDefault="00C916FE" w:rsidP="00C916FE">
      <w:pPr>
        <w:pStyle w:val="Bibliography"/>
      </w:pPr>
      <w:r>
        <w:t xml:space="preserve">Sohag, K., Husain, S., &amp; </w:t>
      </w:r>
      <w:proofErr w:type="spellStart"/>
      <w:r>
        <w:t>Soytas</w:t>
      </w:r>
      <w:proofErr w:type="spellEnd"/>
      <w:r>
        <w:t xml:space="preserve">, U. (2024). Environmental policy stringency and ecological footprint linkage: Mitigation measures of renewable energy and innovation. </w:t>
      </w:r>
      <w:r>
        <w:rPr>
          <w:i/>
          <w:iCs/>
        </w:rPr>
        <w:t>Energy Economics</w:t>
      </w:r>
      <w:r>
        <w:t xml:space="preserve">, </w:t>
      </w:r>
      <w:r>
        <w:rPr>
          <w:i/>
          <w:iCs/>
        </w:rPr>
        <w:t>136</w:t>
      </w:r>
      <w:r>
        <w:t>, 107721. https://doi.org/10.1016/j.eneco.2024.107721</w:t>
      </w:r>
    </w:p>
    <w:p w14:paraId="01DD5505" w14:textId="77777777" w:rsidR="00C916FE" w:rsidRDefault="00C916FE" w:rsidP="00C916FE">
      <w:pPr>
        <w:pStyle w:val="Bibliography"/>
      </w:pPr>
      <w:r>
        <w:lastRenderedPageBreak/>
        <w:t xml:space="preserve">Strielkowski, W., Civín, L., Tarkhanova, E., Tvaronavičienė, M., &amp; Petrenko, Y. (2021). Renewable Energy in the Sustainable Development of Electrical Power Sector: A Review. </w:t>
      </w:r>
      <w:r>
        <w:rPr>
          <w:i/>
          <w:iCs/>
        </w:rPr>
        <w:t>Energies</w:t>
      </w:r>
      <w:r>
        <w:t xml:space="preserve">, </w:t>
      </w:r>
      <w:r>
        <w:rPr>
          <w:i/>
          <w:iCs/>
        </w:rPr>
        <w:t>14</w:t>
      </w:r>
      <w:r>
        <w:t>(24), 8240. https://doi.org/10.3390/en14248240</w:t>
      </w:r>
    </w:p>
    <w:p w14:paraId="2313526C" w14:textId="77777777" w:rsidR="00C916FE" w:rsidRDefault="00C916FE" w:rsidP="00C916FE">
      <w:pPr>
        <w:pStyle w:val="Bibliography"/>
      </w:pPr>
      <w:r>
        <w:t xml:space="preserve">Sun, Y., Shen, S., &amp; Zhou, C. (2023a). Does the pilot emissions trading system in China promote innovation? Evidence based on green technology innovation in the energy sector. </w:t>
      </w:r>
      <w:r>
        <w:rPr>
          <w:i/>
          <w:iCs/>
        </w:rPr>
        <w:t>Energy Economics</w:t>
      </w:r>
      <w:r>
        <w:t xml:space="preserve">, </w:t>
      </w:r>
      <w:r>
        <w:rPr>
          <w:i/>
          <w:iCs/>
        </w:rPr>
        <w:t>126</w:t>
      </w:r>
      <w:r>
        <w:t>, 106984. https://doi.org/10.1016/j.eneco.2023.106984</w:t>
      </w:r>
    </w:p>
    <w:p w14:paraId="374DB627" w14:textId="77777777" w:rsidR="00C916FE" w:rsidRDefault="00C916FE" w:rsidP="00C916FE">
      <w:pPr>
        <w:pStyle w:val="Bibliography"/>
      </w:pPr>
      <w:r>
        <w:t xml:space="preserve">Sun, Y., Shen, S., &amp; Zhou, C. (2023b). Does the pilot emissions trading system in China promote innovation? Evidence based on green technology innovation in the energy sector. </w:t>
      </w:r>
      <w:r>
        <w:rPr>
          <w:i/>
          <w:iCs/>
        </w:rPr>
        <w:t>Energy Economics</w:t>
      </w:r>
      <w:r>
        <w:t xml:space="preserve">, </w:t>
      </w:r>
      <w:r>
        <w:rPr>
          <w:i/>
          <w:iCs/>
        </w:rPr>
        <w:t>126</w:t>
      </w:r>
      <w:r>
        <w:t>, 106984. https://doi.org/10.1016/j.eneco.2023.106984</w:t>
      </w:r>
    </w:p>
    <w:p w14:paraId="3B51DA7F" w14:textId="77777777" w:rsidR="00C916FE" w:rsidRDefault="00C916FE" w:rsidP="00C916FE">
      <w:pPr>
        <w:pStyle w:val="Bibliography"/>
      </w:pPr>
      <w:r>
        <w:t xml:space="preserve">Tang, C., Qi, Y., Khan, N. U., Tang, R., &amp; Xue, Y. (2023). Ultra-low emission standards and corporate production performance: Evidence from Chinese thermal power companies. </w:t>
      </w:r>
      <w:r>
        <w:rPr>
          <w:i/>
          <w:iCs/>
        </w:rPr>
        <w:t>Energy Policy</w:t>
      </w:r>
      <w:r>
        <w:t xml:space="preserve">, </w:t>
      </w:r>
      <w:r>
        <w:rPr>
          <w:i/>
          <w:iCs/>
        </w:rPr>
        <w:t>173</w:t>
      </w:r>
      <w:r>
        <w:t>, 113412. https://doi.org/10.1016/j.enpol.2022.113412</w:t>
      </w:r>
    </w:p>
    <w:p w14:paraId="4E381C4B" w14:textId="77777777" w:rsidR="00C916FE" w:rsidRDefault="00C916FE" w:rsidP="00C916FE">
      <w:pPr>
        <w:pStyle w:val="Bibliography"/>
      </w:pPr>
      <w:r>
        <w:t xml:space="preserve">Tello, W. P. (2025). Policy interactions and electricity generation sector CO2 emissions: A quasi-experimental analysis. </w:t>
      </w:r>
      <w:r>
        <w:rPr>
          <w:i/>
          <w:iCs/>
        </w:rPr>
        <w:t>Energy Policy</w:t>
      </w:r>
      <w:r>
        <w:t xml:space="preserve">, </w:t>
      </w:r>
      <w:r>
        <w:rPr>
          <w:i/>
          <w:iCs/>
        </w:rPr>
        <w:t>198</w:t>
      </w:r>
      <w:r>
        <w:t>, 114434. https://doi.org/10.1016/j.enpol.2024.114434</w:t>
      </w:r>
    </w:p>
    <w:p w14:paraId="59A24123" w14:textId="77777777" w:rsidR="00C916FE" w:rsidRDefault="00C916FE" w:rsidP="00C916FE">
      <w:pPr>
        <w:pStyle w:val="Bibliography"/>
      </w:pPr>
      <w:r>
        <w:t xml:space="preserve">Thakare, H. R., &amp; Daspute, P. (2024). Enhancing energy conservation in power generation in a coal fired thermal power plant through comprehensive energy audit. </w:t>
      </w:r>
      <w:r>
        <w:rPr>
          <w:i/>
          <w:iCs/>
        </w:rPr>
        <w:t>Energy</w:t>
      </w:r>
      <w:r>
        <w:t xml:space="preserve">, </w:t>
      </w:r>
      <w:r>
        <w:rPr>
          <w:i/>
          <w:iCs/>
        </w:rPr>
        <w:t>301</w:t>
      </w:r>
      <w:r>
        <w:t>, 131661. https://doi.org/10.1016/j.energy.2024.131661</w:t>
      </w:r>
    </w:p>
    <w:p w14:paraId="40A9B807" w14:textId="77777777" w:rsidR="00C916FE" w:rsidRDefault="00C916FE" w:rsidP="00C916FE">
      <w:pPr>
        <w:pStyle w:val="Bibliography"/>
      </w:pPr>
      <w:r>
        <w:t xml:space="preserve">Tone, K. (2001). A slacks-based measure of efficiency in data envelopment analysis. </w:t>
      </w:r>
      <w:r>
        <w:rPr>
          <w:i/>
          <w:iCs/>
        </w:rPr>
        <w:t>European Journal of Operational Research</w:t>
      </w:r>
      <w:r>
        <w:t xml:space="preserve">, </w:t>
      </w:r>
      <w:r>
        <w:rPr>
          <w:i/>
          <w:iCs/>
        </w:rPr>
        <w:t>130</w:t>
      </w:r>
      <w:r>
        <w:t>(3), 498–509. https://doi.org/10.1016/S0377-2217(99)00407-5</w:t>
      </w:r>
    </w:p>
    <w:p w14:paraId="4A05B5FD" w14:textId="77777777" w:rsidR="00C916FE" w:rsidRDefault="00C916FE" w:rsidP="00C916FE">
      <w:pPr>
        <w:pStyle w:val="Bibliography"/>
      </w:pPr>
      <w:r>
        <w:lastRenderedPageBreak/>
        <w:t xml:space="preserve">Tone, K. (2002). A slacks-based measure of super-efficiency in data envelopment analysis. </w:t>
      </w:r>
      <w:r>
        <w:rPr>
          <w:i/>
          <w:iCs/>
        </w:rPr>
        <w:t>European Journal of Operational Research</w:t>
      </w:r>
      <w:r>
        <w:t xml:space="preserve">, </w:t>
      </w:r>
      <w:r>
        <w:rPr>
          <w:i/>
          <w:iCs/>
        </w:rPr>
        <w:t>143</w:t>
      </w:r>
      <w:r>
        <w:t>(1), 32–41. https://doi.org/10.1016/S0377-2217(01)00324-1</w:t>
      </w:r>
    </w:p>
    <w:p w14:paraId="582395C2" w14:textId="77777777" w:rsidR="00C916FE" w:rsidRDefault="00C916FE" w:rsidP="00C916FE">
      <w:pPr>
        <w:pStyle w:val="Bibliography"/>
      </w:pPr>
      <w:r>
        <w:t xml:space="preserve">Varadarajan, R. (2023). Resource advantage theory, </w:t>
      </w:r>
      <w:proofErr w:type="gramStart"/>
      <w:r>
        <w:t>resource based</w:t>
      </w:r>
      <w:proofErr w:type="gramEnd"/>
      <w:r>
        <w:t xml:space="preserve"> theory, and theory of multimarket competition: Does multimarket rivalry restrain firms from leveraging resource Advantages? </w:t>
      </w:r>
      <w:r>
        <w:rPr>
          <w:i/>
          <w:iCs/>
        </w:rPr>
        <w:t>Journal of Business Research</w:t>
      </w:r>
      <w:r>
        <w:t xml:space="preserve">, </w:t>
      </w:r>
      <w:r>
        <w:rPr>
          <w:i/>
          <w:iCs/>
        </w:rPr>
        <w:t>160</w:t>
      </w:r>
      <w:r>
        <w:t>, 113713. https://doi.org/10.1016/j.jbusres.2023.113713</w:t>
      </w:r>
    </w:p>
    <w:p w14:paraId="68350E10" w14:textId="77777777" w:rsidR="00C916FE" w:rsidRDefault="00C916FE" w:rsidP="00C916FE">
      <w:pPr>
        <w:pStyle w:val="Bibliography"/>
      </w:pPr>
      <w:r>
        <w:t xml:space="preserve">Wang, D., Sun, M., Meng, B., An, Y., Cheng, W., &amp; Ye, B. (2024). Can carbon market efficiency promote green technology innovation for Chinese companies? </w:t>
      </w:r>
      <w:r>
        <w:rPr>
          <w:i/>
          <w:iCs/>
        </w:rPr>
        <w:t>Energy</w:t>
      </w:r>
      <w:r>
        <w:t xml:space="preserve">, </w:t>
      </w:r>
      <w:r>
        <w:rPr>
          <w:i/>
          <w:iCs/>
        </w:rPr>
        <w:t>309</w:t>
      </w:r>
      <w:r>
        <w:t>, 133157. https://doi.org/10.1016/j.energy.2024.133157</w:t>
      </w:r>
    </w:p>
    <w:p w14:paraId="56696CCE" w14:textId="77777777" w:rsidR="00C916FE" w:rsidRDefault="00C916FE" w:rsidP="00C916FE">
      <w:pPr>
        <w:pStyle w:val="Bibliography"/>
      </w:pPr>
      <w:r>
        <w:t xml:space="preserve">Wang, J., &amp; Wang, S. (2023). The effect of electricity market reform on energy efficiency in China. </w:t>
      </w:r>
      <w:r>
        <w:rPr>
          <w:i/>
          <w:iCs/>
        </w:rPr>
        <w:t>Energy Policy</w:t>
      </w:r>
      <w:r>
        <w:t xml:space="preserve">, </w:t>
      </w:r>
      <w:r>
        <w:rPr>
          <w:i/>
          <w:iCs/>
        </w:rPr>
        <w:t>181</w:t>
      </w:r>
      <w:r>
        <w:t>, 113722. https://doi.org/10.1016/j.enpol.2023.113722</w:t>
      </w:r>
    </w:p>
    <w:p w14:paraId="257FF161" w14:textId="77777777" w:rsidR="00C916FE" w:rsidRDefault="00C916FE" w:rsidP="00C916FE">
      <w:pPr>
        <w:pStyle w:val="Bibliography"/>
      </w:pPr>
      <w:r>
        <w:t xml:space="preserve">Wang, X., &amp; Li, M. (2021). The threshold effect of cost-based environmental regulation on thermal power generation environmental governance efficiency. </w:t>
      </w:r>
      <w:r>
        <w:rPr>
          <w:i/>
          <w:iCs/>
        </w:rPr>
        <w:t>Environmental Science and Pollution Research</w:t>
      </w:r>
      <w:r>
        <w:t xml:space="preserve">, </w:t>
      </w:r>
      <w:r>
        <w:rPr>
          <w:i/>
          <w:iCs/>
        </w:rPr>
        <w:t>28</w:t>
      </w:r>
      <w:r>
        <w:t>(17), 21706–21716. https://doi.org/10.1007/s11356-020-11873-y</w:t>
      </w:r>
    </w:p>
    <w:p w14:paraId="385BE836" w14:textId="77777777" w:rsidR="00C916FE" w:rsidRDefault="00C916FE" w:rsidP="00C916FE">
      <w:pPr>
        <w:pStyle w:val="Bibliography"/>
      </w:pPr>
      <w:r>
        <w:t xml:space="preserve">Wang, X., Tang, S., Ahmad, M., &amp; Bai, Y. (2022). Can Market-Oriented Environmental Regulation Tools Improve Green Total Factor Energy Efficiency? </w:t>
      </w:r>
      <w:proofErr w:type="spellStart"/>
      <w:r>
        <w:t>Analyzing</w:t>
      </w:r>
      <w:proofErr w:type="spellEnd"/>
      <w:r>
        <w:t xml:space="preserve"> the Emission Trading System. </w:t>
      </w:r>
      <w:r>
        <w:rPr>
          <w:i/>
          <w:iCs/>
        </w:rPr>
        <w:t>Frontiers in Environmental Science</w:t>
      </w:r>
      <w:r>
        <w:t xml:space="preserve">, </w:t>
      </w:r>
      <w:r>
        <w:rPr>
          <w:i/>
          <w:iCs/>
        </w:rPr>
        <w:t>10</w:t>
      </w:r>
      <w:r>
        <w:t>, 906921. https://doi.org/10.3389/fenvs.2022.906921</w:t>
      </w:r>
    </w:p>
    <w:p w14:paraId="38E82E84" w14:textId="77777777" w:rsidR="00C916FE" w:rsidRDefault="00C916FE" w:rsidP="00C916FE">
      <w:pPr>
        <w:pStyle w:val="Bibliography"/>
      </w:pPr>
      <w:r>
        <w:t xml:space="preserve">Wei, W., Han, Y., Abedin, M. Z., Ma, J., &amp; Chai, S. (2023). Empirical study on the technical efficiency and total factor productivity of power industry: Evidence from Chinese provinces. </w:t>
      </w:r>
      <w:r>
        <w:rPr>
          <w:i/>
          <w:iCs/>
        </w:rPr>
        <w:t>Energy Economics</w:t>
      </w:r>
      <w:r>
        <w:t xml:space="preserve">, </w:t>
      </w:r>
      <w:r>
        <w:rPr>
          <w:i/>
          <w:iCs/>
        </w:rPr>
        <w:t>128</w:t>
      </w:r>
      <w:r>
        <w:t>, 107161. https://doi.org/10.1016/j.eneco.2023.107161</w:t>
      </w:r>
    </w:p>
    <w:p w14:paraId="3E4D620F" w14:textId="77777777" w:rsidR="00C916FE" w:rsidRDefault="00C916FE" w:rsidP="00C916FE">
      <w:pPr>
        <w:pStyle w:val="Bibliography"/>
      </w:pPr>
      <w:r>
        <w:lastRenderedPageBreak/>
        <w:t xml:space="preserve">Wei, X., &amp; Zhao, R. (2024). Evaluation and spatial convergence of carbon emission reduction efficiency in China’s power industry: Based on a three-stage DEA model with game cross-efficiency. </w:t>
      </w:r>
      <w:r>
        <w:rPr>
          <w:i/>
          <w:iCs/>
        </w:rPr>
        <w:t>Science of The Total Environment</w:t>
      </w:r>
      <w:r>
        <w:t xml:space="preserve">, </w:t>
      </w:r>
      <w:r>
        <w:rPr>
          <w:i/>
          <w:iCs/>
        </w:rPr>
        <w:t>906</w:t>
      </w:r>
      <w:r>
        <w:t>, 167851. https://doi.org/10.1016/j.scitotenv.2023.167851</w:t>
      </w:r>
    </w:p>
    <w:p w14:paraId="39B7A6B3" w14:textId="77777777" w:rsidR="00C916FE" w:rsidRDefault="00C916FE" w:rsidP="00C916FE">
      <w:pPr>
        <w:pStyle w:val="Bibliography"/>
      </w:pPr>
      <w:r>
        <w:t xml:space="preserve">Wei, Y., Du, M., &amp; Huang, Z. (2024). The effects of energy quota trading on total factor productivity and economic potential in industrial sector: Evidence from China. </w:t>
      </w:r>
      <w:r>
        <w:rPr>
          <w:i/>
          <w:iCs/>
        </w:rPr>
        <w:t>Journal of Cleaner Production</w:t>
      </w:r>
      <w:r>
        <w:t xml:space="preserve">, </w:t>
      </w:r>
      <w:r>
        <w:rPr>
          <w:i/>
          <w:iCs/>
        </w:rPr>
        <w:t>445</w:t>
      </w:r>
      <w:r>
        <w:t>, 141227. https://doi.org/10.1016/j.jclepro.2024.141227</w:t>
      </w:r>
    </w:p>
    <w:p w14:paraId="55830548" w14:textId="77777777" w:rsidR="00C916FE" w:rsidRDefault="00C916FE" w:rsidP="00C916FE">
      <w:pPr>
        <w:pStyle w:val="Bibliography"/>
      </w:pPr>
      <w:r>
        <w:t xml:space="preserve">Wei, Y., Zhu, R., &amp; Tan, L. (2022). Emission trading scheme, technological innovation, and competitiveness: Evidence from China’s thermal power enterprises. </w:t>
      </w:r>
      <w:r>
        <w:rPr>
          <w:i/>
          <w:iCs/>
        </w:rPr>
        <w:t>Journal of Environmental Management</w:t>
      </w:r>
      <w:r>
        <w:t xml:space="preserve">, </w:t>
      </w:r>
      <w:r>
        <w:rPr>
          <w:i/>
          <w:iCs/>
        </w:rPr>
        <w:t>320</w:t>
      </w:r>
      <w:r>
        <w:t>, 115874. https://doi.org/10.1016/j.jenvman.2022.115874</w:t>
      </w:r>
    </w:p>
    <w:p w14:paraId="1E6E7659" w14:textId="77777777" w:rsidR="00C916FE" w:rsidRDefault="00C916FE" w:rsidP="00C916FE">
      <w:pPr>
        <w:pStyle w:val="Bibliography"/>
      </w:pPr>
      <w:r>
        <w:t xml:space="preserve">Wu, J., Nie, X., &amp; Wang, H. (2023). Curse to blessing: The carbon emissions trading system and resource-based cities’ carbon mitigation. </w:t>
      </w:r>
      <w:r>
        <w:rPr>
          <w:i/>
          <w:iCs/>
        </w:rPr>
        <w:t>Energy Policy</w:t>
      </w:r>
      <w:r>
        <w:t xml:space="preserve">, </w:t>
      </w:r>
      <w:r>
        <w:rPr>
          <w:i/>
          <w:iCs/>
        </w:rPr>
        <w:t>183</w:t>
      </w:r>
      <w:r>
        <w:t>, 113796. https://doi.org/10.1016/j.enpol.2023.113796</w:t>
      </w:r>
    </w:p>
    <w:p w14:paraId="0EBEE9FC" w14:textId="77777777" w:rsidR="00C916FE" w:rsidRDefault="00C916FE" w:rsidP="00C916FE">
      <w:pPr>
        <w:pStyle w:val="Bibliography"/>
      </w:pPr>
      <w:r>
        <w:t xml:space="preserve">Wu, Q., Tan, C., Wang, D., Wu, Y., Meng, J., &amp; Zheng, H. (2023). How carbon emission prices accelerate net zero: Evidence from China’s coal-fired power plants. </w:t>
      </w:r>
      <w:r>
        <w:rPr>
          <w:i/>
          <w:iCs/>
        </w:rPr>
        <w:t>Energy Policy</w:t>
      </w:r>
      <w:r>
        <w:t xml:space="preserve">, </w:t>
      </w:r>
      <w:r>
        <w:rPr>
          <w:i/>
          <w:iCs/>
        </w:rPr>
        <w:t>177</w:t>
      </w:r>
      <w:r>
        <w:t>, 113524. https://doi.org/10.1016/j.enpol.2023.113524</w:t>
      </w:r>
    </w:p>
    <w:p w14:paraId="4D231E1F" w14:textId="77777777" w:rsidR="00C916FE" w:rsidRDefault="00C916FE" w:rsidP="00C916FE">
      <w:pPr>
        <w:pStyle w:val="Bibliography"/>
      </w:pPr>
      <w:r>
        <w:t xml:space="preserve">Wu, Q., &amp; Wang, Y. (2022). How does carbon emission price stimulate enterprises’ total factor productivity? Insights from China’s emission trading scheme pilots. </w:t>
      </w:r>
      <w:r>
        <w:rPr>
          <w:i/>
          <w:iCs/>
        </w:rPr>
        <w:t>Energy Economics</w:t>
      </w:r>
      <w:r>
        <w:t xml:space="preserve">, </w:t>
      </w:r>
      <w:r>
        <w:rPr>
          <w:i/>
          <w:iCs/>
        </w:rPr>
        <w:t>109</w:t>
      </w:r>
      <w:r>
        <w:t>, 105990. https://doi.org/10.1016/j.eneco.2022.105990</w:t>
      </w:r>
    </w:p>
    <w:p w14:paraId="5747603B" w14:textId="77777777" w:rsidR="00C916FE" w:rsidRDefault="00C916FE" w:rsidP="00C916FE">
      <w:pPr>
        <w:pStyle w:val="Bibliography"/>
      </w:pPr>
      <w:r>
        <w:t xml:space="preserve">Wu, S. (2023). A systematic review of climate policies in China: Evolution, effectiveness, and challenges. </w:t>
      </w:r>
      <w:r>
        <w:rPr>
          <w:i/>
          <w:iCs/>
        </w:rPr>
        <w:t>Environmental Impact Assessment Review</w:t>
      </w:r>
      <w:r>
        <w:t xml:space="preserve">, </w:t>
      </w:r>
      <w:r>
        <w:rPr>
          <w:i/>
          <w:iCs/>
        </w:rPr>
        <w:t>99</w:t>
      </w:r>
      <w:r>
        <w:t>, 107030. https://doi.org/10.1016/j.eiar.2022.107030</w:t>
      </w:r>
    </w:p>
    <w:p w14:paraId="68439085" w14:textId="77777777" w:rsidR="00C916FE" w:rsidRDefault="00C916FE" w:rsidP="00C916FE">
      <w:pPr>
        <w:pStyle w:val="Bibliography"/>
      </w:pPr>
      <w:proofErr w:type="spellStart"/>
      <w:r>
        <w:lastRenderedPageBreak/>
        <w:t>Xiaobao</w:t>
      </w:r>
      <w:proofErr w:type="spellEnd"/>
      <w:r>
        <w:t xml:space="preserve">, P., Jian, W., Yuhui, C., Ali, S., &amp; </w:t>
      </w:r>
      <w:proofErr w:type="spellStart"/>
      <w:r>
        <w:t>Qijun</w:t>
      </w:r>
      <w:proofErr w:type="spellEnd"/>
      <w:r>
        <w:t xml:space="preserve">, X. (2024). Does the carbon emission trading pilot policy promote green innovation cooperation? Evidence from a quasi-natural experiment in China. </w:t>
      </w:r>
      <w:r>
        <w:rPr>
          <w:i/>
          <w:iCs/>
        </w:rPr>
        <w:t>Financial Innovation</w:t>
      </w:r>
      <w:r>
        <w:t xml:space="preserve">, </w:t>
      </w:r>
      <w:r>
        <w:rPr>
          <w:i/>
          <w:iCs/>
        </w:rPr>
        <w:t>10</w:t>
      </w:r>
      <w:r>
        <w:t>(1), 14. https://doi.org/10.1186/s40854-023-00556-5</w:t>
      </w:r>
    </w:p>
    <w:p w14:paraId="030C3D66" w14:textId="77777777" w:rsidR="00C916FE" w:rsidRDefault="00C916FE" w:rsidP="00C916FE">
      <w:pPr>
        <w:pStyle w:val="Bibliography"/>
      </w:pPr>
      <w:r>
        <w:t xml:space="preserve">Xie, B.-C., Chen, Y.-F., Gao, J., &amp; Zhang, S. (2021). Dynamic environmental efficiency analysis of China’s power generation enterprises: A game cross-Malmquist index approach. </w:t>
      </w:r>
      <w:r>
        <w:rPr>
          <w:i/>
          <w:iCs/>
        </w:rPr>
        <w:t>Environmental Science and Pollution Research</w:t>
      </w:r>
      <w:r>
        <w:t xml:space="preserve">, </w:t>
      </w:r>
      <w:r>
        <w:rPr>
          <w:i/>
          <w:iCs/>
        </w:rPr>
        <w:t>28</w:t>
      </w:r>
      <w:r>
        <w:t>(2), 1697–1711. https://doi.org/10.1007/s11356-020-10237-w</w:t>
      </w:r>
    </w:p>
    <w:p w14:paraId="079C27EF" w14:textId="77777777" w:rsidR="00C916FE" w:rsidRDefault="00C916FE" w:rsidP="00C916FE">
      <w:pPr>
        <w:pStyle w:val="Bibliography"/>
      </w:pPr>
      <w:r>
        <w:t xml:space="preserve">Xie, L., Zhou, Z., &amp; Hui, S. (2022). Does environmental regulation improve the structure of power generation technology? Evidence from China’s pilot policy on the carbon emissions trading </w:t>
      </w:r>
      <w:proofErr w:type="gramStart"/>
      <w:r>
        <w:t>market(</w:t>
      </w:r>
      <w:proofErr w:type="gramEnd"/>
      <w:r>
        <w:t xml:space="preserve">CETM). </w:t>
      </w:r>
      <w:r>
        <w:rPr>
          <w:i/>
          <w:iCs/>
        </w:rPr>
        <w:t>Technological Forecasting and Social Change</w:t>
      </w:r>
      <w:r>
        <w:t xml:space="preserve">, </w:t>
      </w:r>
      <w:r>
        <w:rPr>
          <w:i/>
          <w:iCs/>
        </w:rPr>
        <w:t>176</w:t>
      </w:r>
      <w:r>
        <w:t>, 121428. https://doi.org/10.1016/j.techfore.2021.121428</w:t>
      </w:r>
    </w:p>
    <w:p w14:paraId="0CB49FF2" w14:textId="77777777" w:rsidR="00C916FE" w:rsidRDefault="00C916FE" w:rsidP="00C916FE">
      <w:pPr>
        <w:pStyle w:val="Bibliography"/>
      </w:pPr>
      <w:r>
        <w:t xml:space="preserve">Xie, Q., Zhang, L. L., Shang, H., Emrouznejad, A., &amp; Li, Y. (2021). Evaluating performance of super-efficiency models in ranking efficient decision-making units based on Monte Carlo simulations. </w:t>
      </w:r>
      <w:r>
        <w:rPr>
          <w:i/>
          <w:iCs/>
        </w:rPr>
        <w:t>Annals of Operations Research</w:t>
      </w:r>
      <w:r>
        <w:t xml:space="preserve">, </w:t>
      </w:r>
      <w:r>
        <w:rPr>
          <w:i/>
          <w:iCs/>
        </w:rPr>
        <w:t>305</w:t>
      </w:r>
      <w:r>
        <w:t>(1–2), 273–323. https://doi.org/10.1007/s10479-021-04148-3</w:t>
      </w:r>
    </w:p>
    <w:p w14:paraId="0868C027" w14:textId="77777777" w:rsidR="00C916FE" w:rsidRDefault="00C916FE" w:rsidP="00C916FE">
      <w:pPr>
        <w:pStyle w:val="Bibliography"/>
      </w:pPr>
      <w:r>
        <w:t xml:space="preserve">Xin-gang, Z., Xi, X., Shuran, H., &amp; Haowei, C. (2025a). Impact of carbon emissions trading on green total factor productivity of China’s power industry: A green technology innovation perspective. </w:t>
      </w:r>
      <w:r>
        <w:rPr>
          <w:i/>
          <w:iCs/>
        </w:rPr>
        <w:t>Journal of Renewable and Sustainable Energy</w:t>
      </w:r>
      <w:r>
        <w:t xml:space="preserve">, </w:t>
      </w:r>
      <w:r>
        <w:rPr>
          <w:i/>
          <w:iCs/>
        </w:rPr>
        <w:t>17</w:t>
      </w:r>
      <w:r>
        <w:t>(1), 015906. https://doi.org/10.1063/5.0235309</w:t>
      </w:r>
    </w:p>
    <w:p w14:paraId="35A05A0F" w14:textId="77777777" w:rsidR="00C916FE" w:rsidRDefault="00C916FE" w:rsidP="00C916FE">
      <w:pPr>
        <w:pStyle w:val="Bibliography"/>
      </w:pPr>
      <w:r>
        <w:t xml:space="preserve">Xin-gang, Z., Xi, X., Shuran, H., &amp; Haowei, C. (2025b). Impact of carbon emissions trading on green total factor productivity of China’s power industry: A green technology innovation </w:t>
      </w:r>
      <w:r>
        <w:lastRenderedPageBreak/>
        <w:t xml:space="preserve">perspective. </w:t>
      </w:r>
      <w:r>
        <w:rPr>
          <w:i/>
          <w:iCs/>
        </w:rPr>
        <w:t>Journal of Renewable and Sustainable Energy</w:t>
      </w:r>
      <w:r>
        <w:t xml:space="preserve">, </w:t>
      </w:r>
      <w:r>
        <w:rPr>
          <w:i/>
          <w:iCs/>
        </w:rPr>
        <w:t>17</w:t>
      </w:r>
      <w:r>
        <w:t>(1), 015906. https://doi.org/10.1063/5.0235309</w:t>
      </w:r>
    </w:p>
    <w:p w14:paraId="63ABC5BB" w14:textId="77777777" w:rsidR="00C916FE" w:rsidRDefault="00C916FE" w:rsidP="00C916FE">
      <w:pPr>
        <w:pStyle w:val="Bibliography"/>
      </w:pPr>
      <w:r>
        <w:t xml:space="preserve">Yadava, A. K., Chakraborty, S., &amp; Gupta, S. (2025). Benchmarking the performance of Indian electricity distribution companies: The applications of multi-stage robust DEA and SFA models. </w:t>
      </w:r>
      <w:r>
        <w:rPr>
          <w:i/>
          <w:iCs/>
        </w:rPr>
        <w:t>Energy Economics</w:t>
      </w:r>
      <w:r>
        <w:t>, 108396. https://doi.org/10.1016/j.eneco.2025.108396</w:t>
      </w:r>
    </w:p>
    <w:p w14:paraId="4FCD951D" w14:textId="77777777" w:rsidR="00C916FE" w:rsidRDefault="00C916FE" w:rsidP="00C916FE">
      <w:pPr>
        <w:pStyle w:val="Bibliography"/>
      </w:pPr>
      <w:r>
        <w:t xml:space="preserve">Yu, Y., Zhang, X., Liu, Y., &amp; Zhou, T. (2024). Carbon emission trading, carbon efficiency, and the Porter hypothesis: Plant-level evidence from China. </w:t>
      </w:r>
      <w:r>
        <w:rPr>
          <w:i/>
          <w:iCs/>
        </w:rPr>
        <w:t>Energy</w:t>
      </w:r>
      <w:r>
        <w:t xml:space="preserve">, </w:t>
      </w:r>
      <w:r>
        <w:rPr>
          <w:i/>
          <w:iCs/>
        </w:rPr>
        <w:t>308</w:t>
      </w:r>
      <w:r>
        <w:t>, 132870. https://doi.org/10.1016/j.energy.2024.132870</w:t>
      </w:r>
    </w:p>
    <w:p w14:paraId="1CDE4EE2" w14:textId="77777777" w:rsidR="00C916FE" w:rsidRDefault="00C916FE" w:rsidP="00C916FE">
      <w:pPr>
        <w:pStyle w:val="Bibliography"/>
      </w:pPr>
      <w:r>
        <w:t xml:space="preserve">Zhang, G.-X., Yang, Y., Su, B., Nie, Y., &amp; Duan, H.-B. (2023). Electricity production, power generation structure, and air pollution: A monthly data analysis for 279 cities in China (2015–2019). </w:t>
      </w:r>
      <w:r>
        <w:rPr>
          <w:i/>
          <w:iCs/>
        </w:rPr>
        <w:t>Energy Economics</w:t>
      </w:r>
      <w:r>
        <w:t xml:space="preserve">, </w:t>
      </w:r>
      <w:r>
        <w:rPr>
          <w:i/>
          <w:iCs/>
        </w:rPr>
        <w:t>120</w:t>
      </w:r>
      <w:r>
        <w:t>, 106597. https://doi.org/10.1016/j.eneco.2023.106597</w:t>
      </w:r>
    </w:p>
    <w:p w14:paraId="1784E34F" w14:textId="77777777" w:rsidR="00C916FE" w:rsidRDefault="00C916FE" w:rsidP="00C916FE">
      <w:pPr>
        <w:pStyle w:val="Bibliography"/>
      </w:pPr>
      <w:r>
        <w:t xml:space="preserve">Zhang, H., &amp; Wu, J. (2022). The Energy Saving and Emission Reduction Effect of Carbon Trading Pilot Policy in China: Evidence from a Quasi-Natural Experiment. </w:t>
      </w:r>
      <w:r>
        <w:rPr>
          <w:i/>
          <w:iCs/>
        </w:rPr>
        <w:t>International Journal of Environmental Research and Public Health</w:t>
      </w:r>
      <w:r>
        <w:t xml:space="preserve">, </w:t>
      </w:r>
      <w:r>
        <w:rPr>
          <w:i/>
          <w:iCs/>
        </w:rPr>
        <w:t>19</w:t>
      </w:r>
      <w:r>
        <w:t>(15), 9272. https://doi.org/10.3390/ijerph19159272</w:t>
      </w:r>
    </w:p>
    <w:p w14:paraId="601111CF" w14:textId="77777777" w:rsidR="00C916FE" w:rsidRDefault="00C916FE" w:rsidP="00C916FE">
      <w:pPr>
        <w:pStyle w:val="Bibliography"/>
      </w:pPr>
      <w:r>
        <w:t xml:space="preserve">Zhang, N., &amp; Wang, S. (2024). Can China’s regional carbon market pilots improve power plants’ energy efficiency? </w:t>
      </w:r>
      <w:r>
        <w:rPr>
          <w:i/>
          <w:iCs/>
        </w:rPr>
        <w:t>Energy Economics</w:t>
      </w:r>
      <w:r>
        <w:t xml:space="preserve">, </w:t>
      </w:r>
      <w:r>
        <w:rPr>
          <w:i/>
          <w:iCs/>
        </w:rPr>
        <w:t>129</w:t>
      </w:r>
      <w:r>
        <w:t>, 107262. https://doi.org/10.1016/j.eneco.2023.107262</w:t>
      </w:r>
    </w:p>
    <w:p w14:paraId="09E51050" w14:textId="77777777" w:rsidR="00C916FE" w:rsidRDefault="00C916FE" w:rsidP="00C916FE">
      <w:pPr>
        <w:pStyle w:val="Bibliography"/>
      </w:pPr>
      <w:r>
        <w:t xml:space="preserve">Zhang, W., Li, G., &amp; Guo, F. (2022). Does carbon emissions trading promote green technology innovation in China? </w:t>
      </w:r>
      <w:r>
        <w:rPr>
          <w:i/>
          <w:iCs/>
        </w:rPr>
        <w:t>Applied Energy</w:t>
      </w:r>
      <w:r>
        <w:t xml:space="preserve">, </w:t>
      </w:r>
      <w:r>
        <w:rPr>
          <w:i/>
          <w:iCs/>
        </w:rPr>
        <w:t>315</w:t>
      </w:r>
      <w:r>
        <w:t>, 119012. https://doi.org/10.1016/j.apenergy.2022.119012</w:t>
      </w:r>
    </w:p>
    <w:p w14:paraId="33AF85EF" w14:textId="77777777" w:rsidR="00C916FE" w:rsidRDefault="00C916FE" w:rsidP="00C916FE">
      <w:pPr>
        <w:pStyle w:val="Bibliography"/>
      </w:pPr>
      <w:r>
        <w:lastRenderedPageBreak/>
        <w:t xml:space="preserve">Zhao, C. (2023). Is low-carbon energy technology a catalyst for driving green total factor productivity development? The case of China. </w:t>
      </w:r>
      <w:r>
        <w:rPr>
          <w:i/>
          <w:iCs/>
        </w:rPr>
        <w:t>Journal of Cleaner Production</w:t>
      </w:r>
      <w:r>
        <w:t xml:space="preserve">, </w:t>
      </w:r>
      <w:r>
        <w:rPr>
          <w:i/>
          <w:iCs/>
        </w:rPr>
        <w:t>428</w:t>
      </w:r>
      <w:r>
        <w:t>, 139507. https://doi.org/10.1016/j.jclepro.2023.139507</w:t>
      </w:r>
    </w:p>
    <w:p w14:paraId="6FB1F67E" w14:textId="77777777" w:rsidR="00C916FE" w:rsidRDefault="00C916FE" w:rsidP="00C916FE">
      <w:pPr>
        <w:pStyle w:val="Bibliography"/>
      </w:pPr>
      <w:r>
        <w:t xml:space="preserve">Zhu, J., Fan, Y., Deng, X., &amp; Xue, L. (2019). Low-carbon innovation induced by emissions trading in China. </w:t>
      </w:r>
      <w:r>
        <w:rPr>
          <w:i/>
          <w:iCs/>
        </w:rPr>
        <w:t>Nature Communications</w:t>
      </w:r>
      <w:r>
        <w:t xml:space="preserve">, </w:t>
      </w:r>
      <w:r>
        <w:rPr>
          <w:i/>
          <w:iCs/>
        </w:rPr>
        <w:t>10</w:t>
      </w:r>
      <w:r>
        <w:t>(1), 4088. https://doi.org/10.1038/s41467-019-12213-6</w:t>
      </w:r>
    </w:p>
    <w:p w14:paraId="194A235B" w14:textId="77777777" w:rsidR="00C916FE" w:rsidRDefault="00C916FE" w:rsidP="00C916FE">
      <w:pPr>
        <w:pStyle w:val="Bibliography"/>
      </w:pPr>
      <w:r>
        <w:t xml:space="preserve">Zhu, Y., Yang, F., Wei, F., &amp; Wang, D. (2022). Measuring environmental efficiency of the EU based on a DEA approach with fixed cost allocation under different decision goals. </w:t>
      </w:r>
      <w:r>
        <w:rPr>
          <w:i/>
          <w:iCs/>
        </w:rPr>
        <w:t>Expert Systems with Applications</w:t>
      </w:r>
      <w:r>
        <w:t xml:space="preserve">, </w:t>
      </w:r>
      <w:r>
        <w:rPr>
          <w:i/>
          <w:iCs/>
        </w:rPr>
        <w:t>208</w:t>
      </w:r>
      <w:r>
        <w:t>, 118183. https://doi.org/10.1016/j.eswa.2022.118183</w:t>
      </w:r>
    </w:p>
    <w:p w14:paraId="3F74D167" w14:textId="12D337CE" w:rsidR="008061A3" w:rsidRDefault="008061A3" w:rsidP="00F25894">
      <w:pPr>
        <w:spacing w:line="360" w:lineRule="auto"/>
        <w:ind w:hanging="720"/>
        <w:outlineLvl w:val="1"/>
      </w:pPr>
      <w:r>
        <w:fldChar w:fldCharType="end"/>
      </w:r>
    </w:p>
    <w:p w14:paraId="504A4836" w14:textId="77777777" w:rsidR="00F13F17" w:rsidRDefault="00F13F17" w:rsidP="008430EF">
      <w:pPr>
        <w:spacing w:line="240" w:lineRule="atLeast"/>
        <w:ind w:hanging="720"/>
        <w:outlineLvl w:val="1"/>
      </w:pPr>
    </w:p>
    <w:p w14:paraId="7F85F94B" w14:textId="77777777" w:rsidR="008061A3" w:rsidRDefault="008061A3" w:rsidP="008430EF">
      <w:pPr>
        <w:spacing w:line="240" w:lineRule="atLeast"/>
        <w:ind w:hanging="720"/>
        <w:outlineLvl w:val="1"/>
      </w:pPr>
    </w:p>
    <w:p w14:paraId="2BDC3C8C" w14:textId="2EE26601" w:rsidR="008061A3" w:rsidRDefault="008061A3" w:rsidP="007008F3">
      <w:pPr>
        <w:spacing w:line="240" w:lineRule="atLeast"/>
        <w:outlineLvl w:val="1"/>
      </w:pPr>
    </w:p>
    <w:sectPr w:rsidR="008061A3" w:rsidSect="00FF20A8">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662A66" w14:textId="77777777" w:rsidR="006A429A" w:rsidRDefault="006A429A">
      <w:r>
        <w:separator/>
      </w:r>
    </w:p>
  </w:endnote>
  <w:endnote w:type="continuationSeparator" w:id="0">
    <w:p w14:paraId="04763058" w14:textId="77777777" w:rsidR="006A429A" w:rsidRDefault="006A42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Times">
    <w:panose1 w:val="02020603050405020304"/>
    <w:charset w:val="00"/>
    <w:family w:val="roman"/>
    <w:pitch w:val="variable"/>
    <w:sig w:usb0="E0002EFF" w:usb1="C000785B" w:usb2="00000009" w:usb3="00000000" w:csb0="000001FF" w:csb1="00000000"/>
  </w:font>
  <w:font w:name="STIX-Regular">
    <w:altName w:val="宋体"/>
    <w:panose1 w:val="00000000000000000000"/>
    <w:charset w:val="86"/>
    <w:family w:val="roman"/>
    <w:notTrueType/>
    <w:pitch w:val="default"/>
    <w:sig w:usb0="00000001" w:usb1="080E0000" w:usb2="00000010" w:usb3="00000000" w:csb0="00040000" w:csb1="00000000"/>
  </w:font>
  <w:font w:name="CMR12">
    <w:altName w:val="Yu Gothic"/>
    <w:panose1 w:val="00000000000000000000"/>
    <w:charset w:val="80"/>
    <w:family w:val="auto"/>
    <w:notTrueType/>
    <w:pitch w:val="default"/>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MyriadPro-SemiboldSemiCn">
    <w:altName w:val="微软雅黑"/>
    <w:panose1 w:val="00000000000000000000"/>
    <w:charset w:val="86"/>
    <w:family w:val="swiss"/>
    <w:notTrueType/>
    <w:pitch w:val="default"/>
    <w:sig w:usb0="00000001" w:usb1="080E0000" w:usb2="00000010" w:usb3="00000000" w:csb0="00040000" w:csb1="00000000"/>
  </w:font>
  <w:font w:name="WarnockPro-Regular">
    <w:altName w:val="宋体"/>
    <w:panose1 w:val="00000000000000000000"/>
    <w:charset w:val="86"/>
    <w:family w:val="roman"/>
    <w:notTrueType/>
    <w:pitch w:val="default"/>
    <w:sig w:usb0="00000001" w:usb1="080E0000" w:usb2="00000010" w:usb3="00000000" w:csb0="00040000" w:csb1="00000000"/>
  </w:font>
  <w:font w:name="CMMI12">
    <w:altName w:val="Malgun Gothic"/>
    <w:panose1 w:val="00000000000000000000"/>
    <w:charset w:val="81"/>
    <w:family w:val="auto"/>
    <w:notTrueType/>
    <w:pitch w:val="default"/>
    <w:sig w:usb0="00000001" w:usb1="09060000" w:usb2="00000010" w:usb3="00000000" w:csb0="00080000" w:csb1="00000000"/>
  </w:font>
  <w:font w:name="CMMI8">
    <w:altName w:val="Malgun Gothic"/>
    <w:panose1 w:val="00000000000000000000"/>
    <w:charset w:val="81"/>
    <w:family w:val="auto"/>
    <w:notTrueType/>
    <w:pitch w:val="default"/>
    <w:sig w:usb0="00000001" w:usb1="09060000" w:usb2="00000010" w:usb3="00000000" w:csb0="00080000" w:csb1="00000000"/>
  </w:font>
  <w:font w:name="CMSY6">
    <w:altName w:val="Yu Gothic"/>
    <w:panose1 w:val="00000000000000000000"/>
    <w:charset w:val="80"/>
    <w:family w:val="auto"/>
    <w:notTrueType/>
    <w:pitch w:val="default"/>
    <w:sig w:usb0="00000001" w:usb1="08070000" w:usb2="00000010" w:usb3="00000000" w:csb0="00020000" w:csb1="00000000"/>
  </w:font>
  <w:font w:name="CMR8">
    <w:altName w:val="Yu Gothic"/>
    <w:panose1 w:val="00000000000000000000"/>
    <w:charset w:val="80"/>
    <w:family w:val="auto"/>
    <w:notTrueType/>
    <w:pitch w:val="default"/>
    <w:sig w:usb0="00000001" w:usb1="08070000" w:usb2="00000010" w:usb3="00000000" w:csb0="0002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255A96" w14:textId="77777777" w:rsidR="006A429A" w:rsidRDefault="006A429A">
      <w:r>
        <w:separator/>
      </w:r>
    </w:p>
  </w:footnote>
  <w:footnote w:type="continuationSeparator" w:id="0">
    <w:p w14:paraId="70FDE511" w14:textId="77777777" w:rsidR="006A429A" w:rsidRDefault="006A429A">
      <w:r>
        <w:continuationSeparator/>
      </w:r>
    </w:p>
  </w:footnote>
  <w:footnote w:id="1">
    <w:p w14:paraId="0FC13B81" w14:textId="77777777" w:rsidR="008061A3" w:rsidRDefault="008061A3" w:rsidP="008061A3">
      <w:pPr>
        <w:pStyle w:val="FootnoteText"/>
      </w:pPr>
      <w:r>
        <w:rPr>
          <w:rStyle w:val="FootnoteReference"/>
        </w:rPr>
        <w:footnoteRef/>
      </w:r>
      <w:r>
        <w:t xml:space="preserve"> See </w:t>
      </w:r>
      <w:hyperlink r:id="rId1" w:history="1">
        <w:r w:rsidRPr="002F2AD0">
          <w:rPr>
            <w:rStyle w:val="Hyperlink"/>
          </w:rPr>
          <w:t>https://www.iea.org/reports/electricity-2025</w:t>
        </w:r>
      </w:hyperlink>
    </w:p>
  </w:footnote>
  <w:footnote w:id="2">
    <w:p w14:paraId="031481E8" w14:textId="77777777" w:rsidR="008061A3" w:rsidRDefault="008061A3" w:rsidP="008061A3">
      <w:pPr>
        <w:pStyle w:val="FootnoteText"/>
      </w:pPr>
      <w:r>
        <w:rPr>
          <w:rStyle w:val="FootnoteReference"/>
        </w:rPr>
        <w:footnoteRef/>
      </w:r>
      <w:r>
        <w:t xml:space="preserve"> See </w:t>
      </w:r>
      <w:hyperlink r:id="rId2" w:history="1">
        <w:r w:rsidRPr="002F2AD0">
          <w:rPr>
            <w:rStyle w:val="Hyperlink"/>
          </w:rPr>
          <w:t>https://www.iea.org/data-and-statistics/data-tools/greenhouse-gas-emissions-from-energy-data-explorer</w:t>
        </w:r>
      </w:hyperlink>
    </w:p>
    <w:p w14:paraId="44C8640B" w14:textId="77777777" w:rsidR="008061A3" w:rsidRDefault="008061A3" w:rsidP="008061A3">
      <w:pPr>
        <w:pStyle w:val="FootnoteText"/>
      </w:pPr>
    </w:p>
  </w:footnote>
  <w:footnote w:id="3">
    <w:p w14:paraId="56B2CDC4" w14:textId="77777777" w:rsidR="008061A3" w:rsidRDefault="008061A3" w:rsidP="008061A3">
      <w:pPr>
        <w:pStyle w:val="FootnoteText"/>
      </w:pPr>
      <w:r>
        <w:rPr>
          <w:rStyle w:val="FootnoteReference"/>
        </w:rPr>
        <w:footnoteRef/>
      </w:r>
      <w:r>
        <w:t xml:space="preserve"> See </w:t>
      </w:r>
      <w:hyperlink r:id="rId3" w:anchor="what-are-the-main-sources-of-co2-emissions-in-china" w:history="1">
        <w:r w:rsidRPr="002F2AD0">
          <w:rPr>
            <w:rStyle w:val="Hyperlink"/>
          </w:rPr>
          <w:t>https://www.iea.org/countries/china/emissions#what-are-the-main-sources-of-co2-emissions-in-china</w:t>
        </w:r>
      </w:hyperlink>
    </w:p>
    <w:p w14:paraId="248CCBE5" w14:textId="77777777" w:rsidR="008061A3" w:rsidRDefault="008061A3" w:rsidP="008061A3">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B0D4262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1FECAF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7C74E2D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E8F228EA"/>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274B1E8"/>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D2442F12"/>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79147BCA"/>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94C1B5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34C6DA0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C472E25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DC819A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7210F7"/>
    <w:multiLevelType w:val="multilevel"/>
    <w:tmpl w:val="02188C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1DC7F03"/>
    <w:multiLevelType w:val="hybridMultilevel"/>
    <w:tmpl w:val="2EB4F84C"/>
    <w:lvl w:ilvl="0" w:tplc="E2C2EC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21C1D6D"/>
    <w:multiLevelType w:val="multilevel"/>
    <w:tmpl w:val="2B20DE1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34E73A4"/>
    <w:multiLevelType w:val="multilevel"/>
    <w:tmpl w:val="7B9A474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03811A06"/>
    <w:multiLevelType w:val="multilevel"/>
    <w:tmpl w:val="1A3CE9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5CC0843"/>
    <w:multiLevelType w:val="multilevel"/>
    <w:tmpl w:val="9426EBB6"/>
    <w:lvl w:ilvl="0">
      <w:start w:val="1"/>
      <w:numFmt w:val="decimal"/>
      <w:lvlText w:val="(%1)"/>
      <w:lvlJc w:val="right"/>
      <w:pPr>
        <w:ind w:left="720" w:hanging="181"/>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05E96C53"/>
    <w:multiLevelType w:val="multilevel"/>
    <w:tmpl w:val="16D2BC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5F96401"/>
    <w:multiLevelType w:val="multilevel"/>
    <w:tmpl w:val="800E318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060A6E05"/>
    <w:multiLevelType w:val="multilevel"/>
    <w:tmpl w:val="124C4B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0869516B"/>
    <w:multiLevelType w:val="multilevel"/>
    <w:tmpl w:val="6A8E36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8C64257"/>
    <w:multiLevelType w:val="multilevel"/>
    <w:tmpl w:val="7AF487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09431281"/>
    <w:multiLevelType w:val="multilevel"/>
    <w:tmpl w:val="08E8F6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09D90B0A"/>
    <w:multiLevelType w:val="multilevel"/>
    <w:tmpl w:val="4D0AF2D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0AA9268F"/>
    <w:multiLevelType w:val="multilevel"/>
    <w:tmpl w:val="C54209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0D0E765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0D7328C2"/>
    <w:multiLevelType w:val="multilevel"/>
    <w:tmpl w:val="B7C459F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11C45078"/>
    <w:multiLevelType w:val="multilevel"/>
    <w:tmpl w:val="82D47C9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15743459"/>
    <w:multiLevelType w:val="multilevel"/>
    <w:tmpl w:val="CE68FF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172D41B3"/>
    <w:multiLevelType w:val="multilevel"/>
    <w:tmpl w:val="861C4C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98D76F3"/>
    <w:multiLevelType w:val="multilevel"/>
    <w:tmpl w:val="19E263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1AF60F81"/>
    <w:multiLevelType w:val="multilevel"/>
    <w:tmpl w:val="F5A0B2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1C285611"/>
    <w:multiLevelType w:val="multilevel"/>
    <w:tmpl w:val="28FA4A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1CE06D59"/>
    <w:multiLevelType w:val="multilevel"/>
    <w:tmpl w:val="850CA2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1F413159"/>
    <w:multiLevelType w:val="multilevel"/>
    <w:tmpl w:val="30C08770"/>
    <w:lvl w:ilvl="0">
      <w:start w:val="1"/>
      <w:numFmt w:val="decimal"/>
      <w:lvlText w:val="(%1)"/>
      <w:lvlJc w:val="right"/>
      <w:pPr>
        <w:ind w:left="720" w:hanging="153"/>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1FBD58E1"/>
    <w:multiLevelType w:val="multilevel"/>
    <w:tmpl w:val="1B88B870"/>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24AC1ACA"/>
    <w:multiLevelType w:val="multilevel"/>
    <w:tmpl w:val="C4021E0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24C37FE9"/>
    <w:multiLevelType w:val="multilevel"/>
    <w:tmpl w:val="ACCEFD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2679246B"/>
    <w:multiLevelType w:val="multilevel"/>
    <w:tmpl w:val="88081B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27650B37"/>
    <w:multiLevelType w:val="hybridMultilevel"/>
    <w:tmpl w:val="C5D4D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7E8289F"/>
    <w:multiLevelType w:val="hybridMultilevel"/>
    <w:tmpl w:val="E976D66C"/>
    <w:lvl w:ilvl="0" w:tplc="0CDA7214">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1" w15:restartNumberingAfterBreak="0">
    <w:nsid w:val="2C4938D3"/>
    <w:multiLevelType w:val="multilevel"/>
    <w:tmpl w:val="5C2C5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2D4853D9"/>
    <w:multiLevelType w:val="multilevel"/>
    <w:tmpl w:val="D2A6BA7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2D8332BE"/>
    <w:multiLevelType w:val="multilevel"/>
    <w:tmpl w:val="C7C0C3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2F796505"/>
    <w:multiLevelType w:val="multilevel"/>
    <w:tmpl w:val="88B8661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306E1803"/>
    <w:multiLevelType w:val="multilevel"/>
    <w:tmpl w:val="A7946C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32110615"/>
    <w:multiLevelType w:val="multilevel"/>
    <w:tmpl w:val="155A60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32CF6787"/>
    <w:multiLevelType w:val="multilevel"/>
    <w:tmpl w:val="E38E3E8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32EF2BF4"/>
    <w:multiLevelType w:val="multilevel"/>
    <w:tmpl w:val="CFA444E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33451374"/>
    <w:multiLevelType w:val="multilevel"/>
    <w:tmpl w:val="F50A38F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33601ACF"/>
    <w:multiLevelType w:val="hybridMultilevel"/>
    <w:tmpl w:val="D4264C80"/>
    <w:lvl w:ilvl="0" w:tplc="296A4DF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350C4F38"/>
    <w:multiLevelType w:val="multilevel"/>
    <w:tmpl w:val="A47469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35400D57"/>
    <w:multiLevelType w:val="multilevel"/>
    <w:tmpl w:val="E5E05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389B5003"/>
    <w:multiLevelType w:val="multilevel"/>
    <w:tmpl w:val="DD5255FA"/>
    <w:lvl w:ilvl="0">
      <w:start w:val="1"/>
      <w:numFmt w:val="decimal"/>
      <w:lvlText w:val="(%1)"/>
      <w:lvlJc w:val="left"/>
      <w:pPr>
        <w:ind w:left="720" w:hanging="454"/>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39FA6F2A"/>
    <w:multiLevelType w:val="multilevel"/>
    <w:tmpl w:val="E32477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3C5D0C07"/>
    <w:multiLevelType w:val="hybridMultilevel"/>
    <w:tmpl w:val="4CA02766"/>
    <w:lvl w:ilvl="0" w:tplc="79367BA0">
      <w:start w:val="1"/>
      <w:numFmt w:val="decimal"/>
      <w:pStyle w:val="Numberedlist"/>
      <w:lvlText w:val="(%1)"/>
      <w:lvlJc w:val="right"/>
      <w:pPr>
        <w:ind w:left="720" w:hanging="153"/>
      </w:pPr>
      <w:rPr>
        <w:rFonts w:hint="default"/>
      </w:rPr>
    </w:lvl>
    <w:lvl w:ilvl="1" w:tplc="FE3AC208">
      <w:start w:val="1"/>
      <w:numFmt w:val="lowerLetter"/>
      <w:lvlText w:val="(%2)"/>
      <w:lvlJc w:val="left"/>
      <w:pPr>
        <w:ind w:left="1440" w:hanging="360"/>
      </w:pPr>
      <w:rPr>
        <w:rFonts w:hint="default"/>
      </w:rPr>
    </w:lvl>
    <w:lvl w:ilvl="2" w:tplc="77E4D7DE">
      <w:start w:val="1"/>
      <w:numFmt w:val="lowerRoman"/>
      <w:lvlText w:val="(%3)"/>
      <w:lvlJc w:val="righ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3D372D2A"/>
    <w:multiLevelType w:val="multilevel"/>
    <w:tmpl w:val="D6B218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3D4A71FF"/>
    <w:multiLevelType w:val="hybridMultilevel"/>
    <w:tmpl w:val="CADCD1B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8" w15:restartNumberingAfterBreak="0">
    <w:nsid w:val="3D5E7D50"/>
    <w:multiLevelType w:val="multilevel"/>
    <w:tmpl w:val="65DE53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40D73E36"/>
    <w:multiLevelType w:val="multilevel"/>
    <w:tmpl w:val="C194E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40DF5D1F"/>
    <w:multiLevelType w:val="multilevel"/>
    <w:tmpl w:val="7AF80F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410226F6"/>
    <w:multiLevelType w:val="multilevel"/>
    <w:tmpl w:val="B38A6C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458E1521"/>
    <w:multiLevelType w:val="multilevel"/>
    <w:tmpl w:val="A8A8AAE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46531568"/>
    <w:multiLevelType w:val="multilevel"/>
    <w:tmpl w:val="DDDE19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48A10512"/>
    <w:multiLevelType w:val="multilevel"/>
    <w:tmpl w:val="75E2D9B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4A7D6E1F"/>
    <w:multiLevelType w:val="multilevel"/>
    <w:tmpl w:val="E5A6C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4D197AE4"/>
    <w:multiLevelType w:val="multilevel"/>
    <w:tmpl w:val="9B6AC8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4E8E6E4A"/>
    <w:multiLevelType w:val="multilevel"/>
    <w:tmpl w:val="9AE84C9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4F215AAF"/>
    <w:multiLevelType w:val="multilevel"/>
    <w:tmpl w:val="7708E4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5221117E"/>
    <w:multiLevelType w:val="multilevel"/>
    <w:tmpl w:val="92869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551002AE"/>
    <w:multiLevelType w:val="multilevel"/>
    <w:tmpl w:val="FD3A44D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5838135E"/>
    <w:multiLevelType w:val="hybridMultilevel"/>
    <w:tmpl w:val="68EEE1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5BD96BF8"/>
    <w:multiLevelType w:val="hybridMultilevel"/>
    <w:tmpl w:val="76D2C65A"/>
    <w:lvl w:ilvl="0" w:tplc="0456C424">
      <w:start w:val="1"/>
      <w:numFmt w:val="bullet"/>
      <w:pStyle w:val="Bulleted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C5B4E2D"/>
    <w:multiLevelType w:val="multilevel"/>
    <w:tmpl w:val="938E36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5CCC3BE7"/>
    <w:multiLevelType w:val="multilevel"/>
    <w:tmpl w:val="914231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5DD751B3"/>
    <w:multiLevelType w:val="hybridMultilevel"/>
    <w:tmpl w:val="5708286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5F5B7C19"/>
    <w:multiLevelType w:val="hybridMultilevel"/>
    <w:tmpl w:val="31BA0AFE"/>
    <w:lvl w:ilvl="0" w:tplc="FFFFFFFF">
      <w:start w:val="1"/>
      <w:numFmt w:val="decimal"/>
      <w:lvlText w:val="%1."/>
      <w:lvlJc w:val="left"/>
      <w:pPr>
        <w:tabs>
          <w:tab w:val="num" w:pos="720"/>
        </w:tabs>
        <w:ind w:left="720" w:hanging="360"/>
      </w:pPr>
    </w:lvl>
    <w:lvl w:ilvl="1" w:tplc="FFFFFFFF" w:tentative="1">
      <w:start w:val="1"/>
      <w:numFmt w:val="decimal"/>
      <w:lvlText w:val="%2."/>
      <w:lvlJc w:val="left"/>
      <w:pPr>
        <w:tabs>
          <w:tab w:val="num" w:pos="1440"/>
        </w:tabs>
        <w:ind w:left="1440" w:hanging="360"/>
      </w:p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77" w15:restartNumberingAfterBreak="0">
    <w:nsid w:val="5F632533"/>
    <w:multiLevelType w:val="multilevel"/>
    <w:tmpl w:val="A5460A1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610C4FA4"/>
    <w:multiLevelType w:val="multilevel"/>
    <w:tmpl w:val="2ADCAE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63447449"/>
    <w:multiLevelType w:val="multilevel"/>
    <w:tmpl w:val="B85650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639474E8"/>
    <w:multiLevelType w:val="multilevel"/>
    <w:tmpl w:val="8158AA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63FA38AF"/>
    <w:multiLevelType w:val="hybridMultilevel"/>
    <w:tmpl w:val="C96A95C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2" w15:restartNumberingAfterBreak="0">
    <w:nsid w:val="64880FAF"/>
    <w:multiLevelType w:val="multilevel"/>
    <w:tmpl w:val="A05E9D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64A5512D"/>
    <w:multiLevelType w:val="multilevel"/>
    <w:tmpl w:val="05284F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67DF2E26"/>
    <w:multiLevelType w:val="multilevel"/>
    <w:tmpl w:val="669E26A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67E32F84"/>
    <w:multiLevelType w:val="singleLevel"/>
    <w:tmpl w:val="67E32F84"/>
    <w:lvl w:ilvl="0">
      <w:start w:val="1"/>
      <w:numFmt w:val="decimal"/>
      <w:lvlText w:val="(%1)"/>
      <w:lvlJc w:val="left"/>
    </w:lvl>
  </w:abstractNum>
  <w:abstractNum w:abstractNumId="86" w15:restartNumberingAfterBreak="0">
    <w:nsid w:val="694B386F"/>
    <w:multiLevelType w:val="multilevel"/>
    <w:tmpl w:val="7B5265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15:restartNumberingAfterBreak="0">
    <w:nsid w:val="6ADE2463"/>
    <w:multiLevelType w:val="hybridMultilevel"/>
    <w:tmpl w:val="31BA0AFE"/>
    <w:lvl w:ilvl="0" w:tplc="4610222E">
      <w:start w:val="1"/>
      <w:numFmt w:val="decimal"/>
      <w:lvlText w:val="%1."/>
      <w:lvlJc w:val="left"/>
      <w:pPr>
        <w:tabs>
          <w:tab w:val="num" w:pos="720"/>
        </w:tabs>
        <w:ind w:left="720" w:hanging="360"/>
      </w:pPr>
    </w:lvl>
    <w:lvl w:ilvl="1" w:tplc="9774D7E4" w:tentative="1">
      <w:start w:val="1"/>
      <w:numFmt w:val="decimal"/>
      <w:lvlText w:val="%2."/>
      <w:lvlJc w:val="left"/>
      <w:pPr>
        <w:tabs>
          <w:tab w:val="num" w:pos="1440"/>
        </w:tabs>
        <w:ind w:left="1440" w:hanging="360"/>
      </w:pPr>
    </w:lvl>
    <w:lvl w:ilvl="2" w:tplc="D0280A46" w:tentative="1">
      <w:start w:val="1"/>
      <w:numFmt w:val="decimal"/>
      <w:lvlText w:val="%3."/>
      <w:lvlJc w:val="left"/>
      <w:pPr>
        <w:tabs>
          <w:tab w:val="num" w:pos="2160"/>
        </w:tabs>
        <w:ind w:left="2160" w:hanging="360"/>
      </w:pPr>
    </w:lvl>
    <w:lvl w:ilvl="3" w:tplc="8C7AC254" w:tentative="1">
      <w:start w:val="1"/>
      <w:numFmt w:val="decimal"/>
      <w:lvlText w:val="%4."/>
      <w:lvlJc w:val="left"/>
      <w:pPr>
        <w:tabs>
          <w:tab w:val="num" w:pos="2880"/>
        </w:tabs>
        <w:ind w:left="2880" w:hanging="360"/>
      </w:pPr>
    </w:lvl>
    <w:lvl w:ilvl="4" w:tplc="B7CA6FA2" w:tentative="1">
      <w:start w:val="1"/>
      <w:numFmt w:val="decimal"/>
      <w:lvlText w:val="%5."/>
      <w:lvlJc w:val="left"/>
      <w:pPr>
        <w:tabs>
          <w:tab w:val="num" w:pos="3600"/>
        </w:tabs>
        <w:ind w:left="3600" w:hanging="360"/>
      </w:pPr>
    </w:lvl>
    <w:lvl w:ilvl="5" w:tplc="1C3CA3FA" w:tentative="1">
      <w:start w:val="1"/>
      <w:numFmt w:val="decimal"/>
      <w:lvlText w:val="%6."/>
      <w:lvlJc w:val="left"/>
      <w:pPr>
        <w:tabs>
          <w:tab w:val="num" w:pos="4320"/>
        </w:tabs>
        <w:ind w:left="4320" w:hanging="360"/>
      </w:pPr>
    </w:lvl>
    <w:lvl w:ilvl="6" w:tplc="37648690" w:tentative="1">
      <w:start w:val="1"/>
      <w:numFmt w:val="decimal"/>
      <w:lvlText w:val="%7."/>
      <w:lvlJc w:val="left"/>
      <w:pPr>
        <w:tabs>
          <w:tab w:val="num" w:pos="5040"/>
        </w:tabs>
        <w:ind w:left="5040" w:hanging="360"/>
      </w:pPr>
    </w:lvl>
    <w:lvl w:ilvl="7" w:tplc="E78CA0D8" w:tentative="1">
      <w:start w:val="1"/>
      <w:numFmt w:val="decimal"/>
      <w:lvlText w:val="%8."/>
      <w:lvlJc w:val="left"/>
      <w:pPr>
        <w:tabs>
          <w:tab w:val="num" w:pos="5760"/>
        </w:tabs>
        <w:ind w:left="5760" w:hanging="360"/>
      </w:pPr>
    </w:lvl>
    <w:lvl w:ilvl="8" w:tplc="24F8B7BA" w:tentative="1">
      <w:start w:val="1"/>
      <w:numFmt w:val="decimal"/>
      <w:lvlText w:val="%9."/>
      <w:lvlJc w:val="left"/>
      <w:pPr>
        <w:tabs>
          <w:tab w:val="num" w:pos="6480"/>
        </w:tabs>
        <w:ind w:left="6480" w:hanging="360"/>
      </w:pPr>
    </w:lvl>
  </w:abstractNum>
  <w:abstractNum w:abstractNumId="88" w15:restartNumberingAfterBreak="0">
    <w:nsid w:val="6D651BE7"/>
    <w:multiLevelType w:val="multilevel"/>
    <w:tmpl w:val="63AAD5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6D9373AB"/>
    <w:multiLevelType w:val="multilevel"/>
    <w:tmpl w:val="B89CB32C"/>
    <w:lvl w:ilvl="0">
      <w:start w:val="1"/>
      <w:numFmt w:val="decimal"/>
      <w:lvlText w:val="(%1)"/>
      <w:lvlJc w:val="right"/>
      <w:pPr>
        <w:ind w:left="720" w:hanging="153"/>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0" w15:restartNumberingAfterBreak="0">
    <w:nsid w:val="6EA91AFB"/>
    <w:multiLevelType w:val="multilevel"/>
    <w:tmpl w:val="90BE39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6EDF2C3B"/>
    <w:multiLevelType w:val="multilevel"/>
    <w:tmpl w:val="1CD447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6EE05CBD"/>
    <w:multiLevelType w:val="multilevel"/>
    <w:tmpl w:val="FD8809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6FFC66D5"/>
    <w:multiLevelType w:val="multilevel"/>
    <w:tmpl w:val="A41EBA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7000083E"/>
    <w:multiLevelType w:val="multilevel"/>
    <w:tmpl w:val="A77A628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70884EC8"/>
    <w:multiLevelType w:val="multilevel"/>
    <w:tmpl w:val="0A325A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71FD3895"/>
    <w:multiLevelType w:val="multilevel"/>
    <w:tmpl w:val="D938ED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74361A08"/>
    <w:multiLevelType w:val="multilevel"/>
    <w:tmpl w:val="D4E024A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77914B5E"/>
    <w:multiLevelType w:val="multilevel"/>
    <w:tmpl w:val="47ECB6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79394266"/>
    <w:multiLevelType w:val="multilevel"/>
    <w:tmpl w:val="036CC7EE"/>
    <w:lvl w:ilvl="0">
      <w:start w:val="3"/>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79F27C0A"/>
    <w:multiLevelType w:val="multilevel"/>
    <w:tmpl w:val="A356C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7BF1328C"/>
    <w:multiLevelType w:val="hybridMultilevel"/>
    <w:tmpl w:val="E3EED748"/>
    <w:lvl w:ilvl="0" w:tplc="94E8F288">
      <w:start w:val="11"/>
      <w:numFmt w:val="decimal"/>
      <w:lvlText w:val="%1."/>
      <w:lvlJc w:val="left"/>
      <w:pPr>
        <w:tabs>
          <w:tab w:val="num" w:pos="720"/>
        </w:tabs>
        <w:ind w:left="720" w:hanging="360"/>
      </w:pPr>
    </w:lvl>
    <w:lvl w:ilvl="1" w:tplc="F20AF140" w:tentative="1">
      <w:start w:val="1"/>
      <w:numFmt w:val="decimal"/>
      <w:lvlText w:val="%2."/>
      <w:lvlJc w:val="left"/>
      <w:pPr>
        <w:tabs>
          <w:tab w:val="num" w:pos="1440"/>
        </w:tabs>
        <w:ind w:left="1440" w:hanging="360"/>
      </w:pPr>
    </w:lvl>
    <w:lvl w:ilvl="2" w:tplc="B3F66BF4" w:tentative="1">
      <w:start w:val="1"/>
      <w:numFmt w:val="decimal"/>
      <w:lvlText w:val="%3."/>
      <w:lvlJc w:val="left"/>
      <w:pPr>
        <w:tabs>
          <w:tab w:val="num" w:pos="2160"/>
        </w:tabs>
        <w:ind w:left="2160" w:hanging="360"/>
      </w:pPr>
    </w:lvl>
    <w:lvl w:ilvl="3" w:tplc="D4D445E2" w:tentative="1">
      <w:start w:val="1"/>
      <w:numFmt w:val="decimal"/>
      <w:lvlText w:val="%4."/>
      <w:lvlJc w:val="left"/>
      <w:pPr>
        <w:tabs>
          <w:tab w:val="num" w:pos="2880"/>
        </w:tabs>
        <w:ind w:left="2880" w:hanging="360"/>
      </w:pPr>
    </w:lvl>
    <w:lvl w:ilvl="4" w:tplc="511879F2" w:tentative="1">
      <w:start w:val="1"/>
      <w:numFmt w:val="decimal"/>
      <w:lvlText w:val="%5."/>
      <w:lvlJc w:val="left"/>
      <w:pPr>
        <w:tabs>
          <w:tab w:val="num" w:pos="3600"/>
        </w:tabs>
        <w:ind w:left="3600" w:hanging="360"/>
      </w:pPr>
    </w:lvl>
    <w:lvl w:ilvl="5" w:tplc="DE248DC2" w:tentative="1">
      <w:start w:val="1"/>
      <w:numFmt w:val="decimal"/>
      <w:lvlText w:val="%6."/>
      <w:lvlJc w:val="left"/>
      <w:pPr>
        <w:tabs>
          <w:tab w:val="num" w:pos="4320"/>
        </w:tabs>
        <w:ind w:left="4320" w:hanging="360"/>
      </w:pPr>
    </w:lvl>
    <w:lvl w:ilvl="6" w:tplc="CB0C34DC" w:tentative="1">
      <w:start w:val="1"/>
      <w:numFmt w:val="decimal"/>
      <w:lvlText w:val="%7."/>
      <w:lvlJc w:val="left"/>
      <w:pPr>
        <w:tabs>
          <w:tab w:val="num" w:pos="5040"/>
        </w:tabs>
        <w:ind w:left="5040" w:hanging="360"/>
      </w:pPr>
    </w:lvl>
    <w:lvl w:ilvl="7" w:tplc="5F443C26" w:tentative="1">
      <w:start w:val="1"/>
      <w:numFmt w:val="decimal"/>
      <w:lvlText w:val="%8."/>
      <w:lvlJc w:val="left"/>
      <w:pPr>
        <w:tabs>
          <w:tab w:val="num" w:pos="5760"/>
        </w:tabs>
        <w:ind w:left="5760" w:hanging="360"/>
      </w:pPr>
    </w:lvl>
    <w:lvl w:ilvl="8" w:tplc="F4B45CC6" w:tentative="1">
      <w:start w:val="1"/>
      <w:numFmt w:val="decimal"/>
      <w:lvlText w:val="%9."/>
      <w:lvlJc w:val="left"/>
      <w:pPr>
        <w:tabs>
          <w:tab w:val="num" w:pos="6480"/>
        </w:tabs>
        <w:ind w:left="6480" w:hanging="360"/>
      </w:pPr>
    </w:lvl>
  </w:abstractNum>
  <w:abstractNum w:abstractNumId="102" w15:restartNumberingAfterBreak="0">
    <w:nsid w:val="7C99489B"/>
    <w:multiLevelType w:val="multilevel"/>
    <w:tmpl w:val="404AA4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3" w15:restartNumberingAfterBreak="0">
    <w:nsid w:val="7F496F47"/>
    <w:multiLevelType w:val="multilevel"/>
    <w:tmpl w:val="720EF1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81047604">
    <w:abstractNumId w:val="55"/>
  </w:num>
  <w:num w:numId="2" w16cid:durableId="819149091">
    <w:abstractNumId w:val="23"/>
  </w:num>
  <w:num w:numId="3" w16cid:durableId="857738880">
    <w:abstractNumId w:val="49"/>
  </w:num>
  <w:num w:numId="4" w16cid:durableId="1164591911">
    <w:abstractNumId w:val="96"/>
  </w:num>
  <w:num w:numId="5" w16cid:durableId="1739941918">
    <w:abstractNumId w:val="83"/>
  </w:num>
  <w:num w:numId="6" w16cid:durableId="1128857603">
    <w:abstractNumId w:val="41"/>
  </w:num>
  <w:num w:numId="7" w16cid:durableId="1714038282">
    <w:abstractNumId w:val="44"/>
  </w:num>
  <w:num w:numId="8" w16cid:durableId="1051928533">
    <w:abstractNumId w:val="54"/>
  </w:num>
  <w:num w:numId="9" w16cid:durableId="1337077220">
    <w:abstractNumId w:val="18"/>
  </w:num>
  <w:num w:numId="10" w16cid:durableId="1254826505">
    <w:abstractNumId w:val="42"/>
  </w:num>
  <w:num w:numId="11" w16cid:durableId="1084447979">
    <w:abstractNumId w:val="21"/>
  </w:num>
  <w:num w:numId="12" w16cid:durableId="778568284">
    <w:abstractNumId w:val="28"/>
  </w:num>
  <w:num w:numId="13" w16cid:durableId="1508405444">
    <w:abstractNumId w:val="85"/>
  </w:num>
  <w:num w:numId="14" w16cid:durableId="1495150166">
    <w:abstractNumId w:val="29"/>
  </w:num>
  <w:num w:numId="15" w16cid:durableId="544948554">
    <w:abstractNumId w:val="19"/>
  </w:num>
  <w:num w:numId="16" w16cid:durableId="685985181">
    <w:abstractNumId w:val="63"/>
  </w:num>
  <w:num w:numId="17" w16cid:durableId="296490232">
    <w:abstractNumId w:val="51"/>
  </w:num>
  <w:num w:numId="18" w16cid:durableId="749426562">
    <w:abstractNumId w:val="61"/>
  </w:num>
  <w:num w:numId="19" w16cid:durableId="587884298">
    <w:abstractNumId w:val="95"/>
  </w:num>
  <w:num w:numId="20" w16cid:durableId="1749382730">
    <w:abstractNumId w:val="45"/>
  </w:num>
  <w:num w:numId="21" w16cid:durableId="443769866">
    <w:abstractNumId w:val="11"/>
  </w:num>
  <w:num w:numId="22" w16cid:durableId="1104226372">
    <w:abstractNumId w:val="36"/>
  </w:num>
  <w:num w:numId="23" w16cid:durableId="240339105">
    <w:abstractNumId w:val="97"/>
  </w:num>
  <w:num w:numId="24" w16cid:durableId="380130616">
    <w:abstractNumId w:val="92"/>
  </w:num>
  <w:num w:numId="25" w16cid:durableId="808742385">
    <w:abstractNumId w:val="47"/>
  </w:num>
  <w:num w:numId="26" w16cid:durableId="1979341792">
    <w:abstractNumId w:val="38"/>
  </w:num>
  <w:num w:numId="27" w16cid:durableId="823743252">
    <w:abstractNumId w:val="93"/>
  </w:num>
  <w:num w:numId="28" w16cid:durableId="316232916">
    <w:abstractNumId w:val="103"/>
  </w:num>
  <w:num w:numId="29" w16cid:durableId="1455903403">
    <w:abstractNumId w:val="67"/>
  </w:num>
  <w:num w:numId="30" w16cid:durableId="345180101">
    <w:abstractNumId w:val="100"/>
  </w:num>
  <w:num w:numId="31" w16cid:durableId="1186990149">
    <w:abstractNumId w:val="13"/>
  </w:num>
  <w:num w:numId="32" w16cid:durableId="2131047865">
    <w:abstractNumId w:val="84"/>
  </w:num>
  <w:num w:numId="33" w16cid:durableId="680669188">
    <w:abstractNumId w:val="77"/>
  </w:num>
  <w:num w:numId="34" w16cid:durableId="758910594">
    <w:abstractNumId w:val="98"/>
  </w:num>
  <w:num w:numId="35" w16cid:durableId="1590891315">
    <w:abstractNumId w:val="33"/>
  </w:num>
  <w:num w:numId="36" w16cid:durableId="1513491715">
    <w:abstractNumId w:val="78"/>
  </w:num>
  <w:num w:numId="37" w16cid:durableId="1894846086">
    <w:abstractNumId w:val="46"/>
  </w:num>
  <w:num w:numId="38" w16cid:durableId="192304766">
    <w:abstractNumId w:val="32"/>
  </w:num>
  <w:num w:numId="39" w16cid:durableId="2044939219">
    <w:abstractNumId w:val="62"/>
  </w:num>
  <w:num w:numId="40" w16cid:durableId="1887984876">
    <w:abstractNumId w:val="31"/>
  </w:num>
  <w:num w:numId="41" w16cid:durableId="668867355">
    <w:abstractNumId w:val="58"/>
  </w:num>
  <w:num w:numId="42" w16cid:durableId="365644563">
    <w:abstractNumId w:val="90"/>
  </w:num>
  <w:num w:numId="43" w16cid:durableId="870609637">
    <w:abstractNumId w:val="94"/>
  </w:num>
  <w:num w:numId="44" w16cid:durableId="817040539">
    <w:abstractNumId w:val="26"/>
  </w:num>
  <w:num w:numId="45" w16cid:durableId="1382054196">
    <w:abstractNumId w:val="88"/>
  </w:num>
  <w:num w:numId="46" w16cid:durableId="1973823452">
    <w:abstractNumId w:val="60"/>
  </w:num>
  <w:num w:numId="47" w16cid:durableId="516189279">
    <w:abstractNumId w:val="48"/>
  </w:num>
  <w:num w:numId="48" w16cid:durableId="488718069">
    <w:abstractNumId w:val="17"/>
  </w:num>
  <w:num w:numId="49" w16cid:durableId="1918901543">
    <w:abstractNumId w:val="37"/>
  </w:num>
  <w:num w:numId="50" w16cid:durableId="1950507331">
    <w:abstractNumId w:val="15"/>
  </w:num>
  <w:num w:numId="51" w16cid:durableId="60563170">
    <w:abstractNumId w:val="20"/>
  </w:num>
  <w:num w:numId="52" w16cid:durableId="1891918828">
    <w:abstractNumId w:val="14"/>
  </w:num>
  <w:num w:numId="53" w16cid:durableId="339281313">
    <w:abstractNumId w:val="56"/>
  </w:num>
  <w:num w:numId="54" w16cid:durableId="1723601631">
    <w:abstractNumId w:val="69"/>
  </w:num>
  <w:num w:numId="55" w16cid:durableId="407770747">
    <w:abstractNumId w:val="65"/>
  </w:num>
  <w:num w:numId="56" w16cid:durableId="1744377179">
    <w:abstractNumId w:val="24"/>
  </w:num>
  <w:num w:numId="57" w16cid:durableId="1384325373">
    <w:abstractNumId w:val="91"/>
  </w:num>
  <w:num w:numId="58" w16cid:durableId="1884636843">
    <w:abstractNumId w:val="73"/>
  </w:num>
  <w:num w:numId="59" w16cid:durableId="1865050286">
    <w:abstractNumId w:val="79"/>
  </w:num>
  <w:num w:numId="60" w16cid:durableId="1680540365">
    <w:abstractNumId w:val="30"/>
  </w:num>
  <w:num w:numId="61" w16cid:durableId="209803423">
    <w:abstractNumId w:val="43"/>
  </w:num>
  <w:num w:numId="62" w16cid:durableId="354425702">
    <w:abstractNumId w:val="59"/>
  </w:num>
  <w:num w:numId="63" w16cid:durableId="1654331580">
    <w:abstractNumId w:val="86"/>
  </w:num>
  <w:num w:numId="64" w16cid:durableId="710231136">
    <w:abstractNumId w:val="82"/>
  </w:num>
  <w:num w:numId="65" w16cid:durableId="1290554771">
    <w:abstractNumId w:val="27"/>
  </w:num>
  <w:num w:numId="66" w16cid:durableId="1481464507">
    <w:abstractNumId w:val="68"/>
  </w:num>
  <w:num w:numId="67" w16cid:durableId="749888551">
    <w:abstractNumId w:val="12"/>
  </w:num>
  <w:num w:numId="68" w16cid:durableId="1214080157">
    <w:abstractNumId w:val="101"/>
  </w:num>
  <w:num w:numId="69" w16cid:durableId="1824279086">
    <w:abstractNumId w:val="87"/>
  </w:num>
  <w:num w:numId="70" w16cid:durableId="514686648">
    <w:abstractNumId w:val="76"/>
  </w:num>
  <w:num w:numId="71" w16cid:durableId="1415660345">
    <w:abstractNumId w:val="50"/>
  </w:num>
  <w:num w:numId="72" w16cid:durableId="1126892202">
    <w:abstractNumId w:val="70"/>
  </w:num>
  <w:num w:numId="73" w16cid:durableId="986401861">
    <w:abstractNumId w:val="99"/>
  </w:num>
  <w:num w:numId="74" w16cid:durableId="1615479460">
    <w:abstractNumId w:val="102"/>
  </w:num>
  <w:num w:numId="75" w16cid:durableId="1701661801">
    <w:abstractNumId w:val="64"/>
  </w:num>
  <w:num w:numId="76" w16cid:durableId="470289859">
    <w:abstractNumId w:val="22"/>
  </w:num>
  <w:num w:numId="77" w16cid:durableId="1277567071">
    <w:abstractNumId w:val="74"/>
  </w:num>
  <w:num w:numId="78" w16cid:durableId="1415853404">
    <w:abstractNumId w:val="52"/>
  </w:num>
  <w:num w:numId="79" w16cid:durableId="1040470640">
    <w:abstractNumId w:val="66"/>
  </w:num>
  <w:num w:numId="80" w16cid:durableId="1448349577">
    <w:abstractNumId w:val="80"/>
  </w:num>
  <w:num w:numId="81" w16cid:durableId="763263565">
    <w:abstractNumId w:val="40"/>
  </w:num>
  <w:num w:numId="82" w16cid:durableId="1346322413">
    <w:abstractNumId w:val="71"/>
  </w:num>
  <w:num w:numId="83" w16cid:durableId="761612455">
    <w:abstractNumId w:val="1"/>
  </w:num>
  <w:num w:numId="84" w16cid:durableId="1702245572">
    <w:abstractNumId w:val="2"/>
  </w:num>
  <w:num w:numId="85" w16cid:durableId="1800032731">
    <w:abstractNumId w:val="3"/>
  </w:num>
  <w:num w:numId="86" w16cid:durableId="1287007914">
    <w:abstractNumId w:val="4"/>
  </w:num>
  <w:num w:numId="87" w16cid:durableId="1937592958">
    <w:abstractNumId w:val="9"/>
  </w:num>
  <w:num w:numId="88" w16cid:durableId="930967199">
    <w:abstractNumId w:val="5"/>
  </w:num>
  <w:num w:numId="89" w16cid:durableId="1925217789">
    <w:abstractNumId w:val="7"/>
  </w:num>
  <w:num w:numId="90" w16cid:durableId="692003066">
    <w:abstractNumId w:val="6"/>
  </w:num>
  <w:num w:numId="91" w16cid:durableId="155850096">
    <w:abstractNumId w:val="10"/>
  </w:num>
  <w:num w:numId="92" w16cid:durableId="863665583">
    <w:abstractNumId w:val="8"/>
  </w:num>
  <w:num w:numId="93" w16cid:durableId="2064479524">
    <w:abstractNumId w:val="72"/>
  </w:num>
  <w:num w:numId="94" w16cid:durableId="549609030">
    <w:abstractNumId w:val="35"/>
  </w:num>
  <w:num w:numId="95" w16cid:durableId="1169439991">
    <w:abstractNumId w:val="53"/>
  </w:num>
  <w:num w:numId="96" w16cid:durableId="1567036065">
    <w:abstractNumId w:val="16"/>
  </w:num>
  <w:num w:numId="97" w16cid:durableId="1356417256">
    <w:abstractNumId w:val="0"/>
  </w:num>
  <w:num w:numId="98" w16cid:durableId="826937579">
    <w:abstractNumId w:val="25"/>
  </w:num>
  <w:num w:numId="99" w16cid:durableId="201594669">
    <w:abstractNumId w:val="57"/>
  </w:num>
  <w:num w:numId="100" w16cid:durableId="1744789752">
    <w:abstractNumId w:val="75"/>
  </w:num>
  <w:num w:numId="101" w16cid:durableId="214657572">
    <w:abstractNumId w:val="81"/>
  </w:num>
  <w:num w:numId="102" w16cid:durableId="1258900729">
    <w:abstractNumId w:val="34"/>
  </w:num>
  <w:num w:numId="103" w16cid:durableId="819925443">
    <w:abstractNumId w:val="89"/>
  </w:num>
  <w:num w:numId="104" w16cid:durableId="1906643692">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doNotValidateAgainstSchema/>
  <w:saveInvalidXml/>
  <w:hdrShapeDefaults>
    <o:shapedefaults v:ext="edit" spidmax="2050"/>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2NDU2N7A0NTGzNDM1tTRT0lEKTi0uzszPAykwqgUA5D4hfiwAAAA="/>
  </w:docVars>
  <w:rsids>
    <w:rsidRoot w:val="00E10EB0"/>
    <w:rsid w:val="00013C9D"/>
    <w:rsid w:val="00077102"/>
    <w:rsid w:val="000A6020"/>
    <w:rsid w:val="000B106C"/>
    <w:rsid w:val="000C42C8"/>
    <w:rsid w:val="000F5BCF"/>
    <w:rsid w:val="00151DB4"/>
    <w:rsid w:val="001916B8"/>
    <w:rsid w:val="001C52CD"/>
    <w:rsid w:val="001E7226"/>
    <w:rsid w:val="001F46C9"/>
    <w:rsid w:val="002107D6"/>
    <w:rsid w:val="002144D0"/>
    <w:rsid w:val="0021546A"/>
    <w:rsid w:val="00216BFA"/>
    <w:rsid w:val="00231F45"/>
    <w:rsid w:val="002358C6"/>
    <w:rsid w:val="0023649F"/>
    <w:rsid w:val="00275506"/>
    <w:rsid w:val="00282EB3"/>
    <w:rsid w:val="002A59B5"/>
    <w:rsid w:val="002C5491"/>
    <w:rsid w:val="002E2697"/>
    <w:rsid w:val="002F792B"/>
    <w:rsid w:val="00306BA7"/>
    <w:rsid w:val="0037752F"/>
    <w:rsid w:val="003A01E9"/>
    <w:rsid w:val="003A654A"/>
    <w:rsid w:val="003C1533"/>
    <w:rsid w:val="003D0A73"/>
    <w:rsid w:val="003D2576"/>
    <w:rsid w:val="00426E02"/>
    <w:rsid w:val="00462317"/>
    <w:rsid w:val="00496B18"/>
    <w:rsid w:val="004B23BB"/>
    <w:rsid w:val="004E55A1"/>
    <w:rsid w:val="00551707"/>
    <w:rsid w:val="005561A5"/>
    <w:rsid w:val="005923D4"/>
    <w:rsid w:val="00595F0E"/>
    <w:rsid w:val="005A5233"/>
    <w:rsid w:val="005E26A7"/>
    <w:rsid w:val="005E3FB8"/>
    <w:rsid w:val="005F713C"/>
    <w:rsid w:val="00647447"/>
    <w:rsid w:val="0069053D"/>
    <w:rsid w:val="00697399"/>
    <w:rsid w:val="006A429A"/>
    <w:rsid w:val="006C3072"/>
    <w:rsid w:val="006C59F8"/>
    <w:rsid w:val="006D227F"/>
    <w:rsid w:val="006E784C"/>
    <w:rsid w:val="007008F3"/>
    <w:rsid w:val="00781B23"/>
    <w:rsid w:val="007828C5"/>
    <w:rsid w:val="007B3408"/>
    <w:rsid w:val="007C60ED"/>
    <w:rsid w:val="007D3477"/>
    <w:rsid w:val="007E3234"/>
    <w:rsid w:val="007F0A7C"/>
    <w:rsid w:val="008061A3"/>
    <w:rsid w:val="008364BE"/>
    <w:rsid w:val="008430EF"/>
    <w:rsid w:val="0085771F"/>
    <w:rsid w:val="00863F41"/>
    <w:rsid w:val="008747F0"/>
    <w:rsid w:val="00885E73"/>
    <w:rsid w:val="008872DE"/>
    <w:rsid w:val="008E5928"/>
    <w:rsid w:val="008F3E01"/>
    <w:rsid w:val="00966234"/>
    <w:rsid w:val="00995378"/>
    <w:rsid w:val="009B2B2E"/>
    <w:rsid w:val="009B47C0"/>
    <w:rsid w:val="00A148CC"/>
    <w:rsid w:val="00A36296"/>
    <w:rsid w:val="00A9042F"/>
    <w:rsid w:val="00AB63C6"/>
    <w:rsid w:val="00AD45F2"/>
    <w:rsid w:val="00B35DF6"/>
    <w:rsid w:val="00B872B8"/>
    <w:rsid w:val="00BB349E"/>
    <w:rsid w:val="00BC012D"/>
    <w:rsid w:val="00C34732"/>
    <w:rsid w:val="00C4651D"/>
    <w:rsid w:val="00C7155C"/>
    <w:rsid w:val="00C83AEE"/>
    <w:rsid w:val="00C91509"/>
    <w:rsid w:val="00C916FE"/>
    <w:rsid w:val="00CA65CD"/>
    <w:rsid w:val="00CB77E7"/>
    <w:rsid w:val="00CE0500"/>
    <w:rsid w:val="00CF71CF"/>
    <w:rsid w:val="00D16840"/>
    <w:rsid w:val="00D60851"/>
    <w:rsid w:val="00D733DF"/>
    <w:rsid w:val="00D812DC"/>
    <w:rsid w:val="00D816C2"/>
    <w:rsid w:val="00DC1F61"/>
    <w:rsid w:val="00DE74E7"/>
    <w:rsid w:val="00E10EB0"/>
    <w:rsid w:val="00E12BAC"/>
    <w:rsid w:val="00E46CC7"/>
    <w:rsid w:val="00E57FFD"/>
    <w:rsid w:val="00E86923"/>
    <w:rsid w:val="00EB5FF7"/>
    <w:rsid w:val="00EC1B32"/>
    <w:rsid w:val="00F13731"/>
    <w:rsid w:val="00F13F17"/>
    <w:rsid w:val="00F25894"/>
    <w:rsid w:val="00F27C37"/>
    <w:rsid w:val="00F66A5A"/>
    <w:rsid w:val="00FC0655"/>
    <w:rsid w:val="00FC1BE2"/>
    <w:rsid w:val="00FC6862"/>
    <w:rsid w:val="00FE3CD3"/>
    <w:rsid w:val="00FF20A8"/>
    <w:rsid w:val="00FF314E"/>
    <w:rsid w:val="00FF50DF"/>
  </w:rsids>
  <m:mathPr>
    <m:mathFont m:val="Cambria Math"/>
    <m:brkBin m:val="before"/>
    <m:brkBinSub m:val="--"/>
    <m:smallFrac m:val="0"/>
    <m:dispDef/>
    <m:lMargin m:val="0"/>
    <m:rMargin m:val="0"/>
    <m:defJc m:val="centerGroup"/>
    <m:wrapIndent m:val="1440"/>
    <m:intLim m:val="subSup"/>
    <m:naryLim m:val="undOvr"/>
  </m:mathPr>
  <w:attachedSchema w:val="manuscript-schema"/>
  <w:themeFontLang w:val="nb-NO"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3D578C8"/>
  <w15:chartTrackingRefBased/>
  <w15:docId w15:val="{C456680A-D4FD-0242-8AF5-6DF40D0309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nb-NO"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2" w:uiPriority="39" w:qFormat="1"/>
    <w:lsdException w:name="toc 3" w:uiPriority="39" w:qFormat="1"/>
    <w:lsdException w:name="caption" w:semiHidden="1" w:uiPriority="35" w:unhideWhenUsed="1" w:qFormat="1"/>
    <w:lsdException w:name="table of figures" w:uiPriority="99"/>
    <w:lsdException w:name="page number" w:qFormat="1"/>
    <w:lsdException w:name="Title" w:uiPriority="10" w:qFormat="1"/>
    <w:lsdException w:name="Subtitle" w:uiPriority="11" w:qFormat="1"/>
    <w:lsdException w:name="Hyperlink" w:uiPriority="99" w:qFormat="1"/>
    <w:lsdException w:name="Strong" w:qFormat="1"/>
    <w:lsdException w:name="Emphasis" w:uiPriority="20" w:qFormat="1"/>
    <w:lsdException w:name="Normal (Web)" w:uiPriority="99"/>
    <w:lsdException w:name="HTML Code" w:uiPriority="99"/>
    <w:lsdException w:name="HTML Preformatted" w:semiHidden="1" w:uiPriority="99" w:unhideWhenUsed="1"/>
    <w:lsdException w:name="HTML Variable"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16BFA"/>
    <w:pPr>
      <w:spacing w:line="480" w:lineRule="auto"/>
    </w:pPr>
    <w:rPr>
      <w:sz w:val="24"/>
      <w:szCs w:val="24"/>
      <w:lang w:val="en-US"/>
    </w:rPr>
  </w:style>
  <w:style w:type="paragraph" w:styleId="Heading1">
    <w:name w:val="heading 1"/>
    <w:basedOn w:val="Normal"/>
    <w:next w:val="Normal"/>
    <w:link w:val="Heading1Char"/>
    <w:qFormat/>
    <w:rsid w:val="00216BFA"/>
    <w:pPr>
      <w:keepNext/>
      <w:outlineLvl w:val="0"/>
    </w:pPr>
    <w:rPr>
      <w:i/>
      <w:iCs/>
    </w:rPr>
  </w:style>
  <w:style w:type="paragraph" w:styleId="Heading2">
    <w:name w:val="heading 2"/>
    <w:basedOn w:val="Normal"/>
    <w:next w:val="Normal"/>
    <w:link w:val="Heading2Char"/>
    <w:qFormat/>
    <w:rsid w:val="00216BFA"/>
    <w:pPr>
      <w:keepNext/>
      <w:outlineLvl w:val="1"/>
    </w:pPr>
    <w:rPr>
      <w:b/>
      <w:bCs/>
    </w:rPr>
  </w:style>
  <w:style w:type="paragraph" w:styleId="Heading3">
    <w:name w:val="heading 3"/>
    <w:basedOn w:val="Normal"/>
    <w:next w:val="Normal"/>
    <w:link w:val="Heading3Char"/>
    <w:qFormat/>
    <w:rsid w:val="00216BFA"/>
    <w:pPr>
      <w:keepNext/>
      <w:outlineLvl w:val="2"/>
    </w:pPr>
    <w:rPr>
      <w:b/>
      <w:bCs/>
    </w:rPr>
  </w:style>
  <w:style w:type="paragraph" w:styleId="Heading4">
    <w:name w:val="heading 4"/>
    <w:basedOn w:val="Paragraph"/>
    <w:next w:val="Newparagraph"/>
    <w:link w:val="Heading4Char"/>
    <w:rsid w:val="008061A3"/>
    <w:pPr>
      <w:spacing w:before="360"/>
      <w:outlineLvl w:val="3"/>
    </w:pPr>
    <w:rPr>
      <w:bCs/>
      <w:szCs w:val="28"/>
    </w:rPr>
  </w:style>
  <w:style w:type="paragraph" w:styleId="Heading5">
    <w:name w:val="heading 5"/>
    <w:basedOn w:val="Normal"/>
    <w:next w:val="Normal"/>
    <w:link w:val="Heading5Char"/>
    <w:uiPriority w:val="9"/>
    <w:unhideWhenUsed/>
    <w:qFormat/>
    <w:rsid w:val="008061A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8061A3"/>
    <w:pPr>
      <w:keepNext/>
      <w:keepLines/>
      <w:spacing w:before="40"/>
      <w:outlineLvl w:val="5"/>
    </w:pPr>
    <w:rPr>
      <w:rFonts w:eastAsiaTheme="majorEastAsia" w:cstheme="majorBidi"/>
      <w:i/>
      <w:iCs/>
      <w:color w:val="595959" w:themeColor="text1" w:themeTint="A6"/>
      <w:lang w:val="en-GB" w:eastAsia="en-GB"/>
    </w:rPr>
  </w:style>
  <w:style w:type="paragraph" w:styleId="Heading7">
    <w:name w:val="heading 7"/>
    <w:basedOn w:val="Normal"/>
    <w:next w:val="Normal"/>
    <w:link w:val="Heading7Char"/>
    <w:uiPriority w:val="9"/>
    <w:semiHidden/>
    <w:unhideWhenUsed/>
    <w:qFormat/>
    <w:rsid w:val="008061A3"/>
    <w:pPr>
      <w:keepNext/>
      <w:keepLines/>
      <w:spacing w:before="40"/>
      <w:outlineLvl w:val="6"/>
    </w:pPr>
    <w:rPr>
      <w:rFonts w:eastAsiaTheme="majorEastAsia" w:cstheme="majorBidi"/>
      <w:color w:val="595959" w:themeColor="text1" w:themeTint="A6"/>
      <w:lang w:val="en-GB" w:eastAsia="en-GB"/>
    </w:rPr>
  </w:style>
  <w:style w:type="paragraph" w:styleId="Heading8">
    <w:name w:val="heading 8"/>
    <w:basedOn w:val="Normal"/>
    <w:next w:val="Normal"/>
    <w:link w:val="Heading8Char"/>
    <w:uiPriority w:val="9"/>
    <w:semiHidden/>
    <w:unhideWhenUsed/>
    <w:qFormat/>
    <w:rsid w:val="008061A3"/>
    <w:pPr>
      <w:keepNext/>
      <w:keepLines/>
      <w:outlineLvl w:val="7"/>
    </w:pPr>
    <w:rPr>
      <w:rFonts w:eastAsiaTheme="majorEastAsia" w:cstheme="majorBidi"/>
      <w:i/>
      <w:iCs/>
      <w:color w:val="272727" w:themeColor="text1" w:themeTint="D8"/>
      <w:lang w:val="en-GB" w:eastAsia="en-GB"/>
    </w:rPr>
  </w:style>
  <w:style w:type="paragraph" w:styleId="Heading9">
    <w:name w:val="heading 9"/>
    <w:basedOn w:val="Normal"/>
    <w:next w:val="Normal"/>
    <w:link w:val="Heading9Char"/>
    <w:uiPriority w:val="9"/>
    <w:semiHidden/>
    <w:unhideWhenUsed/>
    <w:qFormat/>
    <w:rsid w:val="008061A3"/>
    <w:pPr>
      <w:keepNext/>
      <w:keepLines/>
      <w:outlineLvl w:val="8"/>
    </w:pPr>
    <w:rPr>
      <w:rFonts w:eastAsiaTheme="majorEastAsia" w:cstheme="majorBidi"/>
      <w:color w:val="272727" w:themeColor="text1" w:themeTint="D8"/>
      <w:lang w:val="en-GB" w:eastAsia="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16BFA"/>
    <w:pPr>
      <w:tabs>
        <w:tab w:val="center" w:pos="4320"/>
        <w:tab w:val="right" w:pos="8640"/>
      </w:tabs>
    </w:pPr>
  </w:style>
  <w:style w:type="character" w:styleId="HTMLKeyboard">
    <w:name w:val="HTML Keyboard"/>
    <w:basedOn w:val="DefaultParagraphFont"/>
    <w:rsid w:val="00216BFA"/>
    <w:rPr>
      <w:rFonts w:ascii="Courier New" w:hAnsi="Courier New"/>
      <w:sz w:val="20"/>
      <w:szCs w:val="20"/>
    </w:rPr>
  </w:style>
  <w:style w:type="character" w:styleId="PageNumber">
    <w:name w:val="page number"/>
    <w:basedOn w:val="DefaultParagraphFont"/>
    <w:qFormat/>
    <w:rsid w:val="00216BFA"/>
  </w:style>
  <w:style w:type="character" w:styleId="LineNumber">
    <w:name w:val="line number"/>
    <w:basedOn w:val="DefaultParagraphFont"/>
    <w:rsid w:val="00781B23"/>
  </w:style>
  <w:style w:type="paragraph" w:styleId="Footer">
    <w:name w:val="footer"/>
    <w:basedOn w:val="Normal"/>
    <w:link w:val="FooterChar"/>
    <w:rsid w:val="00216BFA"/>
    <w:pPr>
      <w:tabs>
        <w:tab w:val="center" w:pos="4320"/>
        <w:tab w:val="right" w:pos="8640"/>
      </w:tabs>
    </w:pPr>
  </w:style>
  <w:style w:type="paragraph" w:styleId="Title">
    <w:name w:val="Title"/>
    <w:basedOn w:val="Normal"/>
    <w:link w:val="TitleChar"/>
    <w:uiPriority w:val="10"/>
    <w:qFormat/>
    <w:rsid w:val="00216BFA"/>
    <w:pPr>
      <w:spacing w:before="240" w:after="60"/>
      <w:jc w:val="center"/>
      <w:outlineLvl w:val="0"/>
    </w:pPr>
    <w:rPr>
      <w:rFonts w:ascii="Arial" w:hAnsi="Arial" w:cs="Arial"/>
      <w:b/>
      <w:bCs/>
      <w:kern w:val="28"/>
      <w:sz w:val="32"/>
      <w:szCs w:val="32"/>
    </w:rPr>
  </w:style>
  <w:style w:type="paragraph" w:styleId="BalloonText">
    <w:name w:val="Balloon Text"/>
    <w:basedOn w:val="Normal"/>
    <w:link w:val="BalloonTextChar"/>
    <w:rsid w:val="00DC1F61"/>
    <w:pPr>
      <w:spacing w:line="240" w:lineRule="auto"/>
    </w:pPr>
    <w:rPr>
      <w:rFonts w:ascii="Segoe UI" w:hAnsi="Segoe UI" w:cs="Segoe UI"/>
      <w:sz w:val="18"/>
      <w:szCs w:val="18"/>
    </w:rPr>
  </w:style>
  <w:style w:type="character" w:customStyle="1" w:styleId="BalloonTextChar">
    <w:name w:val="Balloon Text Char"/>
    <w:basedOn w:val="DefaultParagraphFont"/>
    <w:link w:val="BalloonText"/>
    <w:rsid w:val="00DC1F61"/>
    <w:rPr>
      <w:rFonts w:ascii="Segoe UI" w:hAnsi="Segoe UI" w:cs="Segoe UI"/>
      <w:sz w:val="18"/>
      <w:szCs w:val="18"/>
      <w:lang w:val="en-US"/>
    </w:rPr>
  </w:style>
  <w:style w:type="character" w:styleId="Hyperlink">
    <w:name w:val="Hyperlink"/>
    <w:basedOn w:val="DefaultParagraphFont"/>
    <w:uiPriority w:val="99"/>
    <w:qFormat/>
    <w:rsid w:val="00DC1F61"/>
    <w:rPr>
      <w:color w:val="0563C1" w:themeColor="hyperlink"/>
      <w:u w:val="single"/>
    </w:rPr>
  </w:style>
  <w:style w:type="character" w:styleId="UnresolvedMention">
    <w:name w:val="Unresolved Mention"/>
    <w:basedOn w:val="DefaultParagraphFont"/>
    <w:uiPriority w:val="99"/>
    <w:semiHidden/>
    <w:unhideWhenUsed/>
    <w:rsid w:val="00DC1F61"/>
    <w:rPr>
      <w:color w:val="605E5C"/>
      <w:shd w:val="clear" w:color="auto" w:fill="E1DFDD"/>
    </w:rPr>
  </w:style>
  <w:style w:type="paragraph" w:customStyle="1" w:styleId="Default">
    <w:name w:val="Default"/>
    <w:rsid w:val="00647447"/>
    <w:pPr>
      <w:autoSpaceDE w:val="0"/>
      <w:autoSpaceDN w:val="0"/>
      <w:adjustRightInd w:val="0"/>
    </w:pPr>
    <w:rPr>
      <w:rFonts w:ascii="Tahoma" w:eastAsia="宋体" w:hAnsi="Tahoma" w:cs="Tahoma"/>
      <w:color w:val="000000"/>
      <w:sz w:val="24"/>
      <w:szCs w:val="24"/>
      <w:lang w:val="en-US"/>
    </w:rPr>
  </w:style>
  <w:style w:type="character" w:styleId="FollowedHyperlink">
    <w:name w:val="FollowedHyperlink"/>
    <w:basedOn w:val="DefaultParagraphFont"/>
    <w:rsid w:val="008061A3"/>
    <w:rPr>
      <w:color w:val="954F72" w:themeColor="followedHyperlink"/>
      <w:u w:val="single"/>
    </w:rPr>
  </w:style>
  <w:style w:type="paragraph" w:customStyle="1" w:styleId="Articletitle">
    <w:name w:val="Article title"/>
    <w:basedOn w:val="Normal"/>
    <w:next w:val="Normal"/>
    <w:qFormat/>
    <w:rsid w:val="008061A3"/>
    <w:pPr>
      <w:spacing w:after="120" w:line="360" w:lineRule="auto"/>
    </w:pPr>
    <w:rPr>
      <w:b/>
      <w:sz w:val="28"/>
      <w:lang w:val="en-GB" w:eastAsia="en-GB"/>
    </w:rPr>
  </w:style>
  <w:style w:type="paragraph" w:styleId="FootnoteText">
    <w:name w:val="footnote text"/>
    <w:basedOn w:val="Normal"/>
    <w:link w:val="FootnoteTextChar"/>
    <w:autoRedefine/>
    <w:rsid w:val="008061A3"/>
    <w:pPr>
      <w:ind w:left="284" w:hanging="284"/>
    </w:pPr>
    <w:rPr>
      <w:sz w:val="22"/>
      <w:szCs w:val="20"/>
      <w:lang w:val="en-GB" w:eastAsia="en-GB"/>
    </w:rPr>
  </w:style>
  <w:style w:type="character" w:customStyle="1" w:styleId="FootnoteTextChar">
    <w:name w:val="Footnote Text Char"/>
    <w:basedOn w:val="DefaultParagraphFont"/>
    <w:link w:val="FootnoteText"/>
    <w:rsid w:val="008061A3"/>
    <w:rPr>
      <w:sz w:val="22"/>
      <w:lang w:val="en-GB" w:eastAsia="en-GB"/>
    </w:rPr>
  </w:style>
  <w:style w:type="character" w:styleId="FootnoteReference">
    <w:name w:val="footnote reference"/>
    <w:basedOn w:val="DefaultParagraphFont"/>
    <w:rsid w:val="008061A3"/>
    <w:rPr>
      <w:vertAlign w:val="superscript"/>
    </w:rPr>
  </w:style>
  <w:style w:type="paragraph" w:customStyle="1" w:styleId="Numberedlist">
    <w:name w:val="Numbered list"/>
    <w:basedOn w:val="Paragraph"/>
    <w:next w:val="Paragraph"/>
    <w:qFormat/>
    <w:rsid w:val="008061A3"/>
    <w:pPr>
      <w:widowControl/>
      <w:numPr>
        <w:numId w:val="1"/>
      </w:numPr>
      <w:spacing w:after="240"/>
      <w:contextualSpacing/>
    </w:pPr>
  </w:style>
  <w:style w:type="paragraph" w:customStyle="1" w:styleId="Paragraph">
    <w:name w:val="Paragraph"/>
    <w:basedOn w:val="Normal"/>
    <w:next w:val="Newparagraph"/>
    <w:qFormat/>
    <w:rsid w:val="008061A3"/>
    <w:pPr>
      <w:widowControl w:val="0"/>
      <w:spacing w:before="240"/>
    </w:pPr>
    <w:rPr>
      <w:lang w:val="en-GB" w:eastAsia="en-GB"/>
    </w:rPr>
  </w:style>
  <w:style w:type="paragraph" w:customStyle="1" w:styleId="Newparagraph">
    <w:name w:val="New paragraph"/>
    <w:basedOn w:val="Normal"/>
    <w:qFormat/>
    <w:rsid w:val="008061A3"/>
    <w:pPr>
      <w:ind w:firstLine="720"/>
    </w:pPr>
    <w:rPr>
      <w:lang w:val="en-GB" w:eastAsia="en-GB"/>
    </w:rPr>
  </w:style>
  <w:style w:type="paragraph" w:customStyle="1" w:styleId="Heading4Paragraph">
    <w:name w:val="Heading 4 + Paragraph"/>
    <w:basedOn w:val="Paragraph"/>
    <w:next w:val="Newparagraph"/>
    <w:qFormat/>
    <w:rsid w:val="008061A3"/>
    <w:pPr>
      <w:widowControl/>
      <w:spacing w:before="360"/>
    </w:pPr>
  </w:style>
  <w:style w:type="character" w:customStyle="1" w:styleId="Heading5Char">
    <w:name w:val="Heading 5 Char"/>
    <w:basedOn w:val="DefaultParagraphFont"/>
    <w:link w:val="Heading5"/>
    <w:uiPriority w:val="9"/>
    <w:rsid w:val="008061A3"/>
    <w:rPr>
      <w:rFonts w:asciiTheme="majorHAnsi" w:eastAsiaTheme="majorEastAsia" w:hAnsiTheme="majorHAnsi" w:cstheme="majorBidi"/>
      <w:color w:val="2F5496" w:themeColor="accent1" w:themeShade="BF"/>
      <w:sz w:val="24"/>
      <w:szCs w:val="24"/>
      <w:lang w:val="en-US"/>
    </w:rPr>
  </w:style>
  <w:style w:type="character" w:customStyle="1" w:styleId="Heading4Char">
    <w:name w:val="Heading 4 Char"/>
    <w:basedOn w:val="DefaultParagraphFont"/>
    <w:link w:val="Heading4"/>
    <w:rsid w:val="008061A3"/>
    <w:rPr>
      <w:bCs/>
      <w:sz w:val="24"/>
      <w:szCs w:val="28"/>
      <w:lang w:val="en-GB" w:eastAsia="en-GB"/>
    </w:rPr>
  </w:style>
  <w:style w:type="character" w:customStyle="1" w:styleId="Heading6Char">
    <w:name w:val="Heading 6 Char"/>
    <w:basedOn w:val="DefaultParagraphFont"/>
    <w:link w:val="Heading6"/>
    <w:uiPriority w:val="9"/>
    <w:semiHidden/>
    <w:rsid w:val="008061A3"/>
    <w:rPr>
      <w:rFonts w:eastAsiaTheme="majorEastAsia" w:cstheme="majorBidi"/>
      <w:i/>
      <w:iCs/>
      <w:color w:val="595959" w:themeColor="text1" w:themeTint="A6"/>
      <w:sz w:val="24"/>
      <w:szCs w:val="24"/>
      <w:lang w:val="en-GB" w:eastAsia="en-GB"/>
    </w:rPr>
  </w:style>
  <w:style w:type="character" w:customStyle="1" w:styleId="Heading7Char">
    <w:name w:val="Heading 7 Char"/>
    <w:basedOn w:val="DefaultParagraphFont"/>
    <w:link w:val="Heading7"/>
    <w:uiPriority w:val="9"/>
    <w:semiHidden/>
    <w:rsid w:val="008061A3"/>
    <w:rPr>
      <w:rFonts w:eastAsiaTheme="majorEastAsia" w:cstheme="majorBidi"/>
      <w:color w:val="595959" w:themeColor="text1" w:themeTint="A6"/>
      <w:sz w:val="24"/>
      <w:szCs w:val="24"/>
      <w:lang w:val="en-GB" w:eastAsia="en-GB"/>
    </w:rPr>
  </w:style>
  <w:style w:type="character" w:customStyle="1" w:styleId="Heading8Char">
    <w:name w:val="Heading 8 Char"/>
    <w:basedOn w:val="DefaultParagraphFont"/>
    <w:link w:val="Heading8"/>
    <w:uiPriority w:val="9"/>
    <w:semiHidden/>
    <w:rsid w:val="008061A3"/>
    <w:rPr>
      <w:rFonts w:eastAsiaTheme="majorEastAsia" w:cstheme="majorBidi"/>
      <w:i/>
      <w:iCs/>
      <w:color w:val="272727" w:themeColor="text1" w:themeTint="D8"/>
      <w:sz w:val="24"/>
      <w:szCs w:val="24"/>
      <w:lang w:val="en-GB" w:eastAsia="en-GB"/>
    </w:rPr>
  </w:style>
  <w:style w:type="character" w:customStyle="1" w:styleId="Heading9Char">
    <w:name w:val="Heading 9 Char"/>
    <w:basedOn w:val="DefaultParagraphFont"/>
    <w:link w:val="Heading9"/>
    <w:uiPriority w:val="9"/>
    <w:semiHidden/>
    <w:rsid w:val="008061A3"/>
    <w:rPr>
      <w:rFonts w:eastAsiaTheme="majorEastAsia" w:cstheme="majorBidi"/>
      <w:color w:val="272727" w:themeColor="text1" w:themeTint="D8"/>
      <w:sz w:val="24"/>
      <w:szCs w:val="24"/>
      <w:lang w:val="en-GB" w:eastAsia="en-GB"/>
    </w:rPr>
  </w:style>
  <w:style w:type="character" w:customStyle="1" w:styleId="Heading1Char">
    <w:name w:val="Heading 1 Char"/>
    <w:basedOn w:val="DefaultParagraphFont"/>
    <w:link w:val="Heading1"/>
    <w:rsid w:val="008061A3"/>
    <w:rPr>
      <w:i/>
      <w:iCs/>
      <w:sz w:val="24"/>
      <w:szCs w:val="24"/>
      <w:lang w:val="en-US"/>
    </w:rPr>
  </w:style>
  <w:style w:type="character" w:customStyle="1" w:styleId="Heading2Char">
    <w:name w:val="Heading 2 Char"/>
    <w:basedOn w:val="DefaultParagraphFont"/>
    <w:link w:val="Heading2"/>
    <w:rsid w:val="008061A3"/>
    <w:rPr>
      <w:b/>
      <w:bCs/>
      <w:sz w:val="24"/>
      <w:szCs w:val="24"/>
      <w:lang w:val="en-US"/>
    </w:rPr>
  </w:style>
  <w:style w:type="character" w:customStyle="1" w:styleId="Heading3Char">
    <w:name w:val="Heading 3 Char"/>
    <w:basedOn w:val="DefaultParagraphFont"/>
    <w:link w:val="Heading3"/>
    <w:rsid w:val="008061A3"/>
    <w:rPr>
      <w:b/>
      <w:bCs/>
      <w:sz w:val="24"/>
      <w:szCs w:val="24"/>
      <w:lang w:val="en-US"/>
    </w:rPr>
  </w:style>
  <w:style w:type="character" w:customStyle="1" w:styleId="TitleChar">
    <w:name w:val="Title Char"/>
    <w:basedOn w:val="DefaultParagraphFont"/>
    <w:link w:val="Title"/>
    <w:uiPriority w:val="10"/>
    <w:rsid w:val="008061A3"/>
    <w:rPr>
      <w:rFonts w:ascii="Arial" w:hAnsi="Arial" w:cs="Arial"/>
      <w:b/>
      <w:bCs/>
      <w:kern w:val="28"/>
      <w:sz w:val="32"/>
      <w:szCs w:val="32"/>
      <w:lang w:val="en-US"/>
    </w:rPr>
  </w:style>
  <w:style w:type="paragraph" w:styleId="Subtitle">
    <w:name w:val="Subtitle"/>
    <w:basedOn w:val="Normal"/>
    <w:next w:val="Normal"/>
    <w:link w:val="SubtitleChar"/>
    <w:uiPriority w:val="11"/>
    <w:qFormat/>
    <w:rsid w:val="008061A3"/>
    <w:pPr>
      <w:numPr>
        <w:ilvl w:val="1"/>
      </w:numPr>
    </w:pPr>
    <w:rPr>
      <w:rFonts w:eastAsiaTheme="majorEastAsia" w:cstheme="majorBidi"/>
      <w:color w:val="595959" w:themeColor="text1" w:themeTint="A6"/>
      <w:spacing w:val="15"/>
      <w:sz w:val="28"/>
      <w:szCs w:val="28"/>
      <w:lang w:val="en-GB" w:eastAsia="en-GB"/>
    </w:rPr>
  </w:style>
  <w:style w:type="character" w:customStyle="1" w:styleId="SubtitleChar">
    <w:name w:val="Subtitle Char"/>
    <w:basedOn w:val="DefaultParagraphFont"/>
    <w:link w:val="Subtitle"/>
    <w:uiPriority w:val="11"/>
    <w:rsid w:val="008061A3"/>
    <w:rPr>
      <w:rFonts w:eastAsiaTheme="majorEastAsia" w:cstheme="majorBidi"/>
      <w:color w:val="595959" w:themeColor="text1" w:themeTint="A6"/>
      <w:spacing w:val="15"/>
      <w:sz w:val="28"/>
      <w:szCs w:val="28"/>
      <w:lang w:val="en-GB" w:eastAsia="en-GB"/>
    </w:rPr>
  </w:style>
  <w:style w:type="paragraph" w:styleId="Quote">
    <w:name w:val="Quote"/>
    <w:basedOn w:val="Normal"/>
    <w:next w:val="Normal"/>
    <w:link w:val="QuoteChar"/>
    <w:uiPriority w:val="29"/>
    <w:qFormat/>
    <w:rsid w:val="008061A3"/>
    <w:pPr>
      <w:spacing w:before="160"/>
      <w:jc w:val="center"/>
    </w:pPr>
    <w:rPr>
      <w:i/>
      <w:iCs/>
      <w:color w:val="404040" w:themeColor="text1" w:themeTint="BF"/>
      <w:lang w:val="en-GB" w:eastAsia="en-GB"/>
    </w:rPr>
  </w:style>
  <w:style w:type="character" w:customStyle="1" w:styleId="QuoteChar">
    <w:name w:val="Quote Char"/>
    <w:basedOn w:val="DefaultParagraphFont"/>
    <w:link w:val="Quote"/>
    <w:uiPriority w:val="29"/>
    <w:rsid w:val="008061A3"/>
    <w:rPr>
      <w:i/>
      <w:iCs/>
      <w:color w:val="404040" w:themeColor="text1" w:themeTint="BF"/>
      <w:sz w:val="24"/>
      <w:szCs w:val="24"/>
      <w:lang w:val="en-GB" w:eastAsia="en-GB"/>
    </w:rPr>
  </w:style>
  <w:style w:type="paragraph" w:styleId="ListParagraph">
    <w:name w:val="List Paragraph"/>
    <w:basedOn w:val="Normal"/>
    <w:uiPriority w:val="34"/>
    <w:qFormat/>
    <w:rsid w:val="008061A3"/>
    <w:pPr>
      <w:ind w:left="720"/>
      <w:contextualSpacing/>
    </w:pPr>
    <w:rPr>
      <w:lang w:val="en-GB" w:eastAsia="en-GB"/>
    </w:rPr>
  </w:style>
  <w:style w:type="character" w:styleId="IntenseEmphasis">
    <w:name w:val="Intense Emphasis"/>
    <w:basedOn w:val="DefaultParagraphFont"/>
    <w:uiPriority w:val="21"/>
    <w:qFormat/>
    <w:rsid w:val="008061A3"/>
    <w:rPr>
      <w:i/>
      <w:iCs/>
      <w:color w:val="2F5496" w:themeColor="accent1" w:themeShade="BF"/>
    </w:rPr>
  </w:style>
  <w:style w:type="paragraph" w:styleId="IntenseQuote">
    <w:name w:val="Intense Quote"/>
    <w:basedOn w:val="Normal"/>
    <w:next w:val="Normal"/>
    <w:link w:val="IntenseQuoteChar"/>
    <w:uiPriority w:val="30"/>
    <w:qFormat/>
    <w:rsid w:val="008061A3"/>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lang w:val="en-GB" w:eastAsia="en-GB"/>
    </w:rPr>
  </w:style>
  <w:style w:type="character" w:customStyle="1" w:styleId="IntenseQuoteChar">
    <w:name w:val="Intense Quote Char"/>
    <w:basedOn w:val="DefaultParagraphFont"/>
    <w:link w:val="IntenseQuote"/>
    <w:uiPriority w:val="30"/>
    <w:rsid w:val="008061A3"/>
    <w:rPr>
      <w:i/>
      <w:iCs/>
      <w:color w:val="2F5496" w:themeColor="accent1" w:themeShade="BF"/>
      <w:sz w:val="24"/>
      <w:szCs w:val="24"/>
      <w:lang w:val="en-GB" w:eastAsia="en-GB"/>
    </w:rPr>
  </w:style>
  <w:style w:type="character" w:styleId="IntenseReference">
    <w:name w:val="Intense Reference"/>
    <w:basedOn w:val="DefaultParagraphFont"/>
    <w:uiPriority w:val="32"/>
    <w:qFormat/>
    <w:rsid w:val="008061A3"/>
    <w:rPr>
      <w:b/>
      <w:bCs/>
      <w:smallCaps/>
      <w:color w:val="2F5496" w:themeColor="accent1" w:themeShade="BF"/>
      <w:spacing w:val="5"/>
    </w:rPr>
  </w:style>
  <w:style w:type="paragraph" w:customStyle="1" w:styleId="EndNoteBibliographyTitle">
    <w:name w:val="EndNote Bibliography Title"/>
    <w:basedOn w:val="Normal"/>
    <w:link w:val="EndNoteBibliographyTitleChar"/>
    <w:rsid w:val="008061A3"/>
    <w:pPr>
      <w:jc w:val="center"/>
    </w:pPr>
    <w:rPr>
      <w:rFonts w:ascii="Calibri" w:hAnsi="Calibri" w:cs="Calibri"/>
      <w:noProof/>
      <w:lang w:val="en-GB" w:eastAsia="en-GB"/>
    </w:rPr>
  </w:style>
  <w:style w:type="character" w:customStyle="1" w:styleId="EndNoteBibliographyTitleChar">
    <w:name w:val="EndNote Bibliography Title Char"/>
    <w:basedOn w:val="DefaultParagraphFont"/>
    <w:link w:val="EndNoteBibliographyTitle"/>
    <w:rsid w:val="008061A3"/>
    <w:rPr>
      <w:rFonts w:ascii="Calibri" w:hAnsi="Calibri" w:cs="Calibri"/>
      <w:noProof/>
      <w:sz w:val="24"/>
      <w:szCs w:val="24"/>
      <w:lang w:val="en-GB" w:eastAsia="en-GB"/>
    </w:rPr>
  </w:style>
  <w:style w:type="paragraph" w:customStyle="1" w:styleId="EndNoteBibliography">
    <w:name w:val="EndNote Bibliography"/>
    <w:basedOn w:val="Normal"/>
    <w:link w:val="EndNoteBibliographyChar"/>
    <w:rsid w:val="008061A3"/>
    <w:rPr>
      <w:rFonts w:ascii="Calibri" w:hAnsi="Calibri" w:cs="Calibri"/>
      <w:noProof/>
      <w:lang w:val="en-GB" w:eastAsia="en-GB"/>
    </w:rPr>
  </w:style>
  <w:style w:type="character" w:customStyle="1" w:styleId="EndNoteBibliographyChar">
    <w:name w:val="EndNote Bibliography Char"/>
    <w:basedOn w:val="DefaultParagraphFont"/>
    <w:link w:val="EndNoteBibliography"/>
    <w:rsid w:val="008061A3"/>
    <w:rPr>
      <w:rFonts w:ascii="Calibri" w:hAnsi="Calibri" w:cs="Calibri"/>
      <w:noProof/>
      <w:sz w:val="24"/>
      <w:szCs w:val="24"/>
      <w:lang w:val="en-GB" w:eastAsia="en-GB"/>
    </w:rPr>
  </w:style>
  <w:style w:type="character" w:customStyle="1" w:styleId="css-1jxf684">
    <w:name w:val="css-1jxf684"/>
    <w:basedOn w:val="DefaultParagraphFont"/>
    <w:rsid w:val="008061A3"/>
  </w:style>
  <w:style w:type="character" w:customStyle="1" w:styleId="css-1jxf6841">
    <w:name w:val="css-1jxf6841"/>
    <w:basedOn w:val="DefaultParagraphFont"/>
    <w:rsid w:val="008061A3"/>
    <w:rPr>
      <w:strike w:val="0"/>
      <w:dstrike w:val="0"/>
      <w:vanish w:val="0"/>
      <w:webHidden w:val="0"/>
      <w:u w:val="none"/>
      <w:effect w:val="none"/>
      <w:bdr w:val="single" w:sz="2" w:space="0" w:color="000000" w:frame="1"/>
      <w:specVanish w:val="0"/>
    </w:rPr>
  </w:style>
  <w:style w:type="character" w:styleId="Emphasis">
    <w:name w:val="Emphasis"/>
    <w:basedOn w:val="DefaultParagraphFont"/>
    <w:uiPriority w:val="20"/>
    <w:qFormat/>
    <w:rsid w:val="008061A3"/>
    <w:rPr>
      <w:i/>
      <w:iCs/>
    </w:rPr>
  </w:style>
  <w:style w:type="paragraph" w:styleId="HTMLPreformatted">
    <w:name w:val="HTML Preformatted"/>
    <w:basedOn w:val="Normal"/>
    <w:link w:val="HTMLPreformattedChar"/>
    <w:uiPriority w:val="99"/>
    <w:unhideWhenUsed/>
    <w:rsid w:val="008061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GB" w:eastAsia="en-GB"/>
    </w:rPr>
  </w:style>
  <w:style w:type="character" w:customStyle="1" w:styleId="HTMLPreformattedChar">
    <w:name w:val="HTML Preformatted Char"/>
    <w:basedOn w:val="DefaultParagraphFont"/>
    <w:link w:val="HTMLPreformatted"/>
    <w:uiPriority w:val="99"/>
    <w:rsid w:val="008061A3"/>
    <w:rPr>
      <w:rFonts w:ascii="Courier New" w:hAnsi="Courier New" w:cs="Courier New"/>
      <w:lang w:val="en-GB" w:eastAsia="en-GB"/>
    </w:rPr>
  </w:style>
  <w:style w:type="character" w:customStyle="1" w:styleId="gntyacmbg3b">
    <w:name w:val="gntyacmbg3b"/>
    <w:basedOn w:val="DefaultParagraphFont"/>
    <w:rsid w:val="008061A3"/>
  </w:style>
  <w:style w:type="character" w:customStyle="1" w:styleId="gntyacmbh4b">
    <w:name w:val="gntyacmbh4b"/>
    <w:basedOn w:val="DefaultParagraphFont"/>
    <w:rsid w:val="008061A3"/>
  </w:style>
  <w:style w:type="character" w:customStyle="1" w:styleId="gntyacmba4b">
    <w:name w:val="gntyacmba4b"/>
    <w:basedOn w:val="DefaultParagraphFont"/>
    <w:rsid w:val="008061A3"/>
  </w:style>
  <w:style w:type="character" w:customStyle="1" w:styleId="gntyacmbk3b">
    <w:name w:val="gntyacmbk3b"/>
    <w:basedOn w:val="DefaultParagraphFont"/>
    <w:rsid w:val="008061A3"/>
  </w:style>
  <w:style w:type="paragraph" w:styleId="EndnoteText">
    <w:name w:val="endnote text"/>
    <w:basedOn w:val="Normal"/>
    <w:link w:val="EndnoteTextChar"/>
    <w:autoRedefine/>
    <w:rsid w:val="008061A3"/>
    <w:pPr>
      <w:ind w:left="284" w:hanging="284"/>
    </w:pPr>
    <w:rPr>
      <w:sz w:val="22"/>
      <w:szCs w:val="20"/>
      <w:lang w:val="en-GB" w:eastAsia="en-GB"/>
    </w:rPr>
  </w:style>
  <w:style w:type="character" w:customStyle="1" w:styleId="EndnoteTextChar">
    <w:name w:val="Endnote Text Char"/>
    <w:basedOn w:val="DefaultParagraphFont"/>
    <w:link w:val="EndnoteText"/>
    <w:rsid w:val="008061A3"/>
    <w:rPr>
      <w:sz w:val="22"/>
      <w:lang w:val="en-GB" w:eastAsia="en-GB"/>
    </w:rPr>
  </w:style>
  <w:style w:type="character" w:styleId="EndnoteReference">
    <w:name w:val="endnote reference"/>
    <w:basedOn w:val="DefaultParagraphFont"/>
    <w:rsid w:val="008061A3"/>
    <w:rPr>
      <w:vertAlign w:val="superscript"/>
    </w:rPr>
  </w:style>
  <w:style w:type="table" w:styleId="PlainTable1">
    <w:name w:val="Plain Table 1"/>
    <w:basedOn w:val="TableNormal"/>
    <w:uiPriority w:val="41"/>
    <w:rsid w:val="008061A3"/>
    <w:rPr>
      <w:rFonts w:asciiTheme="minorHAnsi" w:eastAsiaTheme="minorEastAsia" w:hAnsiTheme="minorHAnsi" w:cstheme="minorBidi"/>
      <w:kern w:val="2"/>
      <w:sz w:val="24"/>
      <w:szCs w:val="24"/>
      <w:lang w:val="en-US" w:eastAsia="zh-CN"/>
      <w14:ligatures w14:val="standardContextua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laceholderText">
    <w:name w:val="Placeholder Text"/>
    <w:basedOn w:val="DefaultParagraphFont"/>
    <w:uiPriority w:val="99"/>
    <w:semiHidden/>
    <w:rsid w:val="008061A3"/>
    <w:rPr>
      <w:color w:val="666666"/>
    </w:rPr>
  </w:style>
  <w:style w:type="table" w:styleId="TableGridLight">
    <w:name w:val="Grid Table Light"/>
    <w:basedOn w:val="TableNormal"/>
    <w:uiPriority w:val="40"/>
    <w:rsid w:val="008061A3"/>
    <w:rPr>
      <w:rFonts w:asciiTheme="minorHAnsi" w:eastAsiaTheme="minorEastAsia" w:hAnsiTheme="minorHAnsi" w:cstheme="minorBidi"/>
      <w:kern w:val="2"/>
      <w:sz w:val="24"/>
      <w:szCs w:val="24"/>
      <w:lang w:val="en-US" w:eastAsia="zh-CN"/>
      <w14:ligatures w14:val="standardContextua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2">
    <w:name w:val="Plain Table 2"/>
    <w:basedOn w:val="TableNormal"/>
    <w:uiPriority w:val="42"/>
    <w:rsid w:val="008061A3"/>
    <w:rPr>
      <w:rFonts w:asciiTheme="minorHAnsi" w:eastAsiaTheme="minorEastAsia" w:hAnsiTheme="minorHAnsi" w:cstheme="minorBidi"/>
      <w:kern w:val="2"/>
      <w:sz w:val="24"/>
      <w:szCs w:val="24"/>
      <w:lang w:val="en-US" w:eastAsia="zh-CN"/>
      <w14:ligatures w14:val="standardContextual"/>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ListTable6Colorful-Accent3">
    <w:name w:val="List Table 6 Colorful Accent 3"/>
    <w:basedOn w:val="TableNormal"/>
    <w:uiPriority w:val="51"/>
    <w:rsid w:val="008061A3"/>
    <w:rPr>
      <w:rFonts w:asciiTheme="minorHAnsi" w:eastAsiaTheme="minorEastAsia" w:hAnsiTheme="minorHAnsi" w:cstheme="minorBidi"/>
      <w:color w:val="7B7B7B" w:themeColor="accent3" w:themeShade="BF"/>
      <w:kern w:val="2"/>
      <w:sz w:val="24"/>
      <w:szCs w:val="24"/>
      <w:lang w:val="en-US" w:eastAsia="zh-CN"/>
      <w14:ligatures w14:val="standardContextual"/>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Bibliography">
    <w:name w:val="Bibliography"/>
    <w:basedOn w:val="Normal"/>
    <w:next w:val="Normal"/>
    <w:uiPriority w:val="37"/>
    <w:unhideWhenUsed/>
    <w:rsid w:val="008061A3"/>
    <w:pPr>
      <w:ind w:left="720" w:hanging="720"/>
    </w:pPr>
    <w:rPr>
      <w:lang w:val="en-GB" w:eastAsia="en-GB"/>
    </w:rPr>
  </w:style>
  <w:style w:type="paragraph" w:styleId="NormalWeb">
    <w:name w:val="Normal (Web)"/>
    <w:basedOn w:val="Normal"/>
    <w:uiPriority w:val="99"/>
    <w:unhideWhenUsed/>
    <w:rsid w:val="008061A3"/>
    <w:pPr>
      <w:spacing w:before="100" w:beforeAutospacing="1" w:after="100" w:afterAutospacing="1"/>
    </w:pPr>
    <w:rPr>
      <w:lang w:val="en-GB" w:eastAsia="en-GB"/>
    </w:rPr>
  </w:style>
  <w:style w:type="character" w:customStyle="1" w:styleId="anchor-text">
    <w:name w:val="anchor-text"/>
    <w:basedOn w:val="DefaultParagraphFont"/>
    <w:rsid w:val="008061A3"/>
  </w:style>
  <w:style w:type="character" w:styleId="HTMLCode">
    <w:name w:val="HTML Code"/>
    <w:basedOn w:val="DefaultParagraphFont"/>
    <w:uiPriority w:val="99"/>
    <w:unhideWhenUsed/>
    <w:rsid w:val="008061A3"/>
    <w:rPr>
      <w:rFonts w:ascii="Courier New" w:eastAsia="Times New Roman" w:hAnsi="Courier New" w:cs="Courier New"/>
      <w:sz w:val="20"/>
      <w:szCs w:val="20"/>
    </w:rPr>
  </w:style>
  <w:style w:type="paragraph" w:styleId="TOC2">
    <w:name w:val="toc 2"/>
    <w:basedOn w:val="Normal"/>
    <w:next w:val="Normal"/>
    <w:uiPriority w:val="39"/>
    <w:qFormat/>
    <w:rsid w:val="008061A3"/>
    <w:pPr>
      <w:spacing w:after="100" w:line="400" w:lineRule="atLeast"/>
      <w:ind w:left="210"/>
      <w:jc w:val="both"/>
    </w:pPr>
    <w:rPr>
      <w:rFonts w:eastAsia="宋体"/>
      <w:kern w:val="2"/>
      <w:sz w:val="21"/>
      <w:lang w:val="en-GB" w:eastAsia="en-GB"/>
    </w:rPr>
  </w:style>
  <w:style w:type="paragraph" w:styleId="TOC3">
    <w:name w:val="toc 3"/>
    <w:basedOn w:val="Normal"/>
    <w:next w:val="Normal"/>
    <w:uiPriority w:val="39"/>
    <w:qFormat/>
    <w:rsid w:val="008061A3"/>
    <w:pPr>
      <w:spacing w:after="100" w:line="400" w:lineRule="atLeast"/>
      <w:ind w:left="420"/>
      <w:jc w:val="both"/>
    </w:pPr>
    <w:rPr>
      <w:rFonts w:eastAsia="宋体"/>
      <w:kern w:val="2"/>
      <w:sz w:val="21"/>
      <w:lang w:val="en-GB" w:eastAsia="en-GB"/>
    </w:rPr>
  </w:style>
  <w:style w:type="character" w:customStyle="1" w:styleId="HeaderChar">
    <w:name w:val="Header Char"/>
    <w:basedOn w:val="DefaultParagraphFont"/>
    <w:link w:val="Header"/>
    <w:rsid w:val="008061A3"/>
    <w:rPr>
      <w:sz w:val="24"/>
      <w:szCs w:val="24"/>
      <w:lang w:val="en-US"/>
    </w:rPr>
  </w:style>
  <w:style w:type="character" w:customStyle="1" w:styleId="FooterChar">
    <w:name w:val="Footer Char"/>
    <w:basedOn w:val="DefaultParagraphFont"/>
    <w:link w:val="Footer"/>
    <w:rsid w:val="008061A3"/>
    <w:rPr>
      <w:sz w:val="24"/>
      <w:szCs w:val="24"/>
      <w:lang w:val="en-US"/>
    </w:rPr>
  </w:style>
  <w:style w:type="table" w:styleId="TableGrid">
    <w:name w:val="Table Grid"/>
    <w:basedOn w:val="TableNormal"/>
    <w:uiPriority w:val="39"/>
    <w:rsid w:val="008061A3"/>
    <w:rPr>
      <w:rFonts w:asciiTheme="minorHAnsi" w:eastAsiaTheme="minorEastAsia" w:hAnsiTheme="minorHAnsi" w:cstheme="minorBidi"/>
      <w:kern w:val="2"/>
      <w:sz w:val="24"/>
      <w:szCs w:val="24"/>
      <w:lang w:val="en-US" w:eastAsia="zh-CN"/>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8061A3"/>
    <w:pPr>
      <w:spacing w:after="200"/>
    </w:pPr>
    <w:rPr>
      <w:i/>
      <w:iCs/>
      <w:color w:val="44546A" w:themeColor="text2"/>
      <w:sz w:val="18"/>
      <w:szCs w:val="18"/>
      <w:lang w:val="en-GB" w:eastAsia="en-GB"/>
    </w:rPr>
  </w:style>
  <w:style w:type="paragraph" w:customStyle="1" w:styleId="Authornames">
    <w:name w:val="Author names"/>
    <w:basedOn w:val="Normal"/>
    <w:next w:val="Normal"/>
    <w:qFormat/>
    <w:rsid w:val="008061A3"/>
    <w:pPr>
      <w:spacing w:before="240" w:line="360" w:lineRule="auto"/>
    </w:pPr>
    <w:rPr>
      <w:sz w:val="28"/>
      <w:lang w:val="en-GB" w:eastAsia="en-GB"/>
    </w:rPr>
  </w:style>
  <w:style w:type="paragraph" w:customStyle="1" w:styleId="Affiliation">
    <w:name w:val="Affiliation"/>
    <w:basedOn w:val="Normal"/>
    <w:qFormat/>
    <w:rsid w:val="008061A3"/>
    <w:pPr>
      <w:spacing w:before="240" w:line="360" w:lineRule="auto"/>
    </w:pPr>
    <w:rPr>
      <w:i/>
      <w:lang w:val="en-GB" w:eastAsia="en-GB"/>
    </w:rPr>
  </w:style>
  <w:style w:type="paragraph" w:customStyle="1" w:styleId="Receiveddates">
    <w:name w:val="Received dates"/>
    <w:basedOn w:val="Affiliation"/>
    <w:next w:val="Normal"/>
    <w:qFormat/>
    <w:rsid w:val="008061A3"/>
  </w:style>
  <w:style w:type="paragraph" w:customStyle="1" w:styleId="Abstract">
    <w:name w:val="Abstract"/>
    <w:basedOn w:val="Normal"/>
    <w:next w:val="Keywords"/>
    <w:qFormat/>
    <w:rsid w:val="008061A3"/>
    <w:pPr>
      <w:spacing w:before="360" w:after="300" w:line="360" w:lineRule="auto"/>
      <w:ind w:left="720" w:right="567"/>
    </w:pPr>
    <w:rPr>
      <w:sz w:val="22"/>
      <w:lang w:val="en-GB" w:eastAsia="en-GB"/>
    </w:rPr>
  </w:style>
  <w:style w:type="paragraph" w:customStyle="1" w:styleId="Keywords">
    <w:name w:val="Keywords"/>
    <w:basedOn w:val="Normal"/>
    <w:next w:val="Paragraph"/>
    <w:qFormat/>
    <w:rsid w:val="008061A3"/>
    <w:pPr>
      <w:spacing w:before="240" w:after="240" w:line="360" w:lineRule="auto"/>
      <w:ind w:left="720" w:right="567"/>
    </w:pPr>
    <w:rPr>
      <w:sz w:val="22"/>
      <w:lang w:val="en-GB" w:eastAsia="en-GB"/>
    </w:rPr>
  </w:style>
  <w:style w:type="paragraph" w:customStyle="1" w:styleId="Correspondencedetails">
    <w:name w:val="Correspondence details"/>
    <w:basedOn w:val="Normal"/>
    <w:qFormat/>
    <w:rsid w:val="008061A3"/>
    <w:pPr>
      <w:spacing w:before="240" w:line="360" w:lineRule="auto"/>
    </w:pPr>
    <w:rPr>
      <w:lang w:val="en-GB" w:eastAsia="en-GB"/>
    </w:rPr>
  </w:style>
  <w:style w:type="paragraph" w:customStyle="1" w:styleId="Displayedquotation">
    <w:name w:val="Displayed quotation"/>
    <w:basedOn w:val="Normal"/>
    <w:qFormat/>
    <w:rsid w:val="008061A3"/>
    <w:pPr>
      <w:tabs>
        <w:tab w:val="left" w:pos="1077"/>
        <w:tab w:val="left" w:pos="1440"/>
        <w:tab w:val="left" w:pos="1797"/>
        <w:tab w:val="left" w:pos="2155"/>
        <w:tab w:val="left" w:pos="2512"/>
      </w:tabs>
      <w:spacing w:before="240" w:after="360" w:line="360" w:lineRule="auto"/>
      <w:ind w:left="709" w:right="425"/>
      <w:contextualSpacing/>
    </w:pPr>
    <w:rPr>
      <w:sz w:val="22"/>
      <w:lang w:val="en-GB" w:eastAsia="en-GB"/>
    </w:rPr>
  </w:style>
  <w:style w:type="paragraph" w:customStyle="1" w:styleId="Displayedequation">
    <w:name w:val="Displayed equation"/>
    <w:basedOn w:val="Normal"/>
    <w:next w:val="Paragraph"/>
    <w:qFormat/>
    <w:rsid w:val="008061A3"/>
    <w:pPr>
      <w:tabs>
        <w:tab w:val="center" w:pos="4253"/>
        <w:tab w:val="right" w:pos="8222"/>
      </w:tabs>
      <w:spacing w:before="240" w:after="240"/>
      <w:jc w:val="center"/>
    </w:pPr>
    <w:rPr>
      <w:lang w:val="en-GB" w:eastAsia="en-GB"/>
    </w:rPr>
  </w:style>
  <w:style w:type="paragraph" w:customStyle="1" w:styleId="Acknowledgements">
    <w:name w:val="Acknowledgements"/>
    <w:basedOn w:val="Normal"/>
    <w:next w:val="Normal"/>
    <w:qFormat/>
    <w:rsid w:val="008061A3"/>
    <w:pPr>
      <w:spacing w:before="120" w:line="360" w:lineRule="auto"/>
    </w:pPr>
    <w:rPr>
      <w:sz w:val="22"/>
      <w:lang w:val="en-GB" w:eastAsia="en-GB"/>
    </w:rPr>
  </w:style>
  <w:style w:type="paragraph" w:customStyle="1" w:styleId="Tabletitle">
    <w:name w:val="Table title"/>
    <w:basedOn w:val="Normal"/>
    <w:next w:val="Normal"/>
    <w:qFormat/>
    <w:rsid w:val="008061A3"/>
    <w:pPr>
      <w:spacing w:before="240" w:line="360" w:lineRule="auto"/>
    </w:pPr>
    <w:rPr>
      <w:lang w:val="en-GB" w:eastAsia="en-GB"/>
    </w:rPr>
  </w:style>
  <w:style w:type="paragraph" w:customStyle="1" w:styleId="Figurecaption">
    <w:name w:val="Figure caption"/>
    <w:basedOn w:val="Normal"/>
    <w:next w:val="Normal"/>
    <w:qFormat/>
    <w:rsid w:val="008061A3"/>
    <w:pPr>
      <w:spacing w:before="240" w:line="360" w:lineRule="auto"/>
    </w:pPr>
    <w:rPr>
      <w:lang w:val="en-GB" w:eastAsia="en-GB"/>
    </w:rPr>
  </w:style>
  <w:style w:type="paragraph" w:customStyle="1" w:styleId="Footnotes">
    <w:name w:val="Footnotes"/>
    <w:basedOn w:val="Normal"/>
    <w:qFormat/>
    <w:rsid w:val="008061A3"/>
    <w:pPr>
      <w:spacing w:before="120" w:line="360" w:lineRule="auto"/>
      <w:ind w:left="482" w:hanging="482"/>
      <w:contextualSpacing/>
    </w:pPr>
    <w:rPr>
      <w:sz w:val="22"/>
      <w:lang w:val="en-GB" w:eastAsia="en-GB"/>
    </w:rPr>
  </w:style>
  <w:style w:type="paragraph" w:customStyle="1" w:styleId="Notesoncontributors">
    <w:name w:val="Notes on contributors"/>
    <w:basedOn w:val="Normal"/>
    <w:qFormat/>
    <w:rsid w:val="008061A3"/>
    <w:pPr>
      <w:spacing w:before="240" w:line="360" w:lineRule="auto"/>
    </w:pPr>
    <w:rPr>
      <w:sz w:val="22"/>
      <w:lang w:val="en-GB" w:eastAsia="en-GB"/>
    </w:rPr>
  </w:style>
  <w:style w:type="paragraph" w:customStyle="1" w:styleId="Normalparagraphstyle">
    <w:name w:val="Normal paragraph style"/>
    <w:basedOn w:val="Normal"/>
    <w:next w:val="Normal"/>
    <w:rsid w:val="008061A3"/>
    <w:rPr>
      <w:lang w:val="en-GB" w:eastAsia="en-GB"/>
    </w:rPr>
  </w:style>
  <w:style w:type="paragraph" w:styleId="NormalIndent">
    <w:name w:val="Normal Indent"/>
    <w:basedOn w:val="Normal"/>
    <w:rsid w:val="008061A3"/>
    <w:pPr>
      <w:ind w:left="720"/>
    </w:pPr>
    <w:rPr>
      <w:lang w:val="en-GB" w:eastAsia="en-GB"/>
    </w:rPr>
  </w:style>
  <w:style w:type="paragraph" w:customStyle="1" w:styleId="References">
    <w:name w:val="References"/>
    <w:basedOn w:val="Normal"/>
    <w:qFormat/>
    <w:rsid w:val="008061A3"/>
    <w:pPr>
      <w:spacing w:before="120" w:line="360" w:lineRule="auto"/>
      <w:ind w:left="720" w:hanging="720"/>
      <w:contextualSpacing/>
    </w:pPr>
    <w:rPr>
      <w:lang w:val="en-GB" w:eastAsia="en-GB"/>
    </w:rPr>
  </w:style>
  <w:style w:type="paragraph" w:customStyle="1" w:styleId="Subjectcodes">
    <w:name w:val="Subject codes"/>
    <w:basedOn w:val="Keywords"/>
    <w:next w:val="Paragraph"/>
    <w:qFormat/>
    <w:rsid w:val="008061A3"/>
  </w:style>
  <w:style w:type="paragraph" w:customStyle="1" w:styleId="Bulletedlist">
    <w:name w:val="Bulleted list"/>
    <w:basedOn w:val="Paragraph"/>
    <w:next w:val="Paragraph"/>
    <w:qFormat/>
    <w:rsid w:val="008061A3"/>
    <w:pPr>
      <w:widowControl/>
      <w:numPr>
        <w:numId w:val="93"/>
      </w:numPr>
      <w:spacing w:after="240"/>
      <w:contextualSpacing/>
    </w:pPr>
  </w:style>
  <w:style w:type="paragraph" w:customStyle="1" w:styleId="FACorrespondingAuthorFootnote">
    <w:name w:val="FA_Corresponding_Author_Footnote"/>
    <w:basedOn w:val="Normal"/>
    <w:next w:val="Normal"/>
    <w:rsid w:val="008061A3"/>
    <w:pPr>
      <w:spacing w:after="200"/>
      <w:jc w:val="both"/>
    </w:pPr>
    <w:rPr>
      <w:rFonts w:ascii="Times" w:eastAsiaTheme="minorEastAsia" w:hAnsi="Times"/>
      <w:szCs w:val="20"/>
    </w:rPr>
  </w:style>
  <w:style w:type="character" w:customStyle="1" w:styleId="FAAuthorInfoSubtitleChar">
    <w:name w:val="FA_Author_Info_Subtitle Char"/>
    <w:link w:val="FAAuthorInfoSubtitle"/>
    <w:locked/>
    <w:rsid w:val="008061A3"/>
    <w:rPr>
      <w:rFonts w:ascii="Times" w:hAnsi="Times"/>
      <w:b/>
    </w:rPr>
  </w:style>
  <w:style w:type="paragraph" w:customStyle="1" w:styleId="FAAuthorInfoSubtitle">
    <w:name w:val="FA_Author_Info_Subtitle"/>
    <w:basedOn w:val="Normal"/>
    <w:link w:val="FAAuthorInfoSubtitleChar"/>
    <w:autoRedefine/>
    <w:rsid w:val="008061A3"/>
    <w:pPr>
      <w:spacing w:before="120" w:after="60"/>
    </w:pPr>
    <w:rPr>
      <w:rFonts w:ascii="Times" w:hAnsi="Times"/>
      <w:b/>
      <w:sz w:val="20"/>
      <w:szCs w:val="20"/>
      <w:lang w:val="nb-NO"/>
    </w:rPr>
  </w:style>
  <w:style w:type="paragraph" w:styleId="TableofFigures">
    <w:name w:val="table of figures"/>
    <w:basedOn w:val="Normal"/>
    <w:next w:val="Normal"/>
    <w:uiPriority w:val="99"/>
    <w:unhideWhenUsed/>
    <w:rsid w:val="008061A3"/>
    <w:rPr>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111795">
      <w:bodyDiv w:val="1"/>
      <w:marLeft w:val="0"/>
      <w:marRight w:val="0"/>
      <w:marTop w:val="0"/>
      <w:marBottom w:val="0"/>
      <w:divBdr>
        <w:top w:val="none" w:sz="0" w:space="0" w:color="auto"/>
        <w:left w:val="none" w:sz="0" w:space="0" w:color="auto"/>
        <w:bottom w:val="none" w:sz="0" w:space="0" w:color="auto"/>
        <w:right w:val="none" w:sz="0" w:space="0" w:color="auto"/>
      </w:divBdr>
      <w:divsChild>
        <w:div w:id="1079711762">
          <w:marLeft w:val="0"/>
          <w:marRight w:val="0"/>
          <w:marTop w:val="0"/>
          <w:marBottom w:val="0"/>
          <w:divBdr>
            <w:top w:val="none" w:sz="0" w:space="0" w:color="auto"/>
            <w:left w:val="none" w:sz="0" w:space="0" w:color="auto"/>
            <w:bottom w:val="none" w:sz="0" w:space="0" w:color="auto"/>
            <w:right w:val="none" w:sz="0" w:space="0" w:color="auto"/>
          </w:divBdr>
        </w:div>
      </w:divsChild>
    </w:div>
    <w:div w:id="222376444">
      <w:bodyDiv w:val="1"/>
      <w:marLeft w:val="0"/>
      <w:marRight w:val="0"/>
      <w:marTop w:val="0"/>
      <w:marBottom w:val="0"/>
      <w:divBdr>
        <w:top w:val="none" w:sz="0" w:space="0" w:color="auto"/>
        <w:left w:val="none" w:sz="0" w:space="0" w:color="auto"/>
        <w:bottom w:val="none" w:sz="0" w:space="0" w:color="auto"/>
        <w:right w:val="none" w:sz="0" w:space="0" w:color="auto"/>
      </w:divBdr>
      <w:divsChild>
        <w:div w:id="918054756">
          <w:marLeft w:val="0"/>
          <w:marRight w:val="0"/>
          <w:marTop w:val="0"/>
          <w:marBottom w:val="0"/>
          <w:divBdr>
            <w:top w:val="none" w:sz="0" w:space="0" w:color="auto"/>
            <w:left w:val="none" w:sz="0" w:space="0" w:color="auto"/>
            <w:bottom w:val="none" w:sz="0" w:space="0" w:color="auto"/>
            <w:right w:val="none" w:sz="0" w:space="0" w:color="auto"/>
          </w:divBdr>
        </w:div>
      </w:divsChild>
    </w:div>
    <w:div w:id="246352232">
      <w:bodyDiv w:val="1"/>
      <w:marLeft w:val="0"/>
      <w:marRight w:val="0"/>
      <w:marTop w:val="0"/>
      <w:marBottom w:val="0"/>
      <w:divBdr>
        <w:top w:val="none" w:sz="0" w:space="0" w:color="auto"/>
        <w:left w:val="none" w:sz="0" w:space="0" w:color="auto"/>
        <w:bottom w:val="none" w:sz="0" w:space="0" w:color="auto"/>
        <w:right w:val="none" w:sz="0" w:space="0" w:color="auto"/>
      </w:divBdr>
      <w:divsChild>
        <w:div w:id="761226281">
          <w:marLeft w:val="0"/>
          <w:marRight w:val="0"/>
          <w:marTop w:val="0"/>
          <w:marBottom w:val="0"/>
          <w:divBdr>
            <w:top w:val="none" w:sz="0" w:space="0" w:color="auto"/>
            <w:left w:val="none" w:sz="0" w:space="0" w:color="auto"/>
            <w:bottom w:val="none" w:sz="0" w:space="0" w:color="auto"/>
            <w:right w:val="none" w:sz="0" w:space="0" w:color="auto"/>
          </w:divBdr>
        </w:div>
      </w:divsChild>
    </w:div>
    <w:div w:id="319382089">
      <w:bodyDiv w:val="1"/>
      <w:marLeft w:val="0"/>
      <w:marRight w:val="0"/>
      <w:marTop w:val="0"/>
      <w:marBottom w:val="0"/>
      <w:divBdr>
        <w:top w:val="none" w:sz="0" w:space="0" w:color="auto"/>
        <w:left w:val="none" w:sz="0" w:space="0" w:color="auto"/>
        <w:bottom w:val="none" w:sz="0" w:space="0" w:color="auto"/>
        <w:right w:val="none" w:sz="0" w:space="0" w:color="auto"/>
      </w:divBdr>
      <w:divsChild>
        <w:div w:id="690448055">
          <w:marLeft w:val="0"/>
          <w:marRight w:val="0"/>
          <w:marTop w:val="0"/>
          <w:marBottom w:val="0"/>
          <w:divBdr>
            <w:top w:val="none" w:sz="0" w:space="0" w:color="auto"/>
            <w:left w:val="none" w:sz="0" w:space="0" w:color="auto"/>
            <w:bottom w:val="none" w:sz="0" w:space="0" w:color="auto"/>
            <w:right w:val="none" w:sz="0" w:space="0" w:color="auto"/>
          </w:divBdr>
        </w:div>
      </w:divsChild>
    </w:div>
    <w:div w:id="341326705">
      <w:bodyDiv w:val="1"/>
      <w:marLeft w:val="0"/>
      <w:marRight w:val="0"/>
      <w:marTop w:val="0"/>
      <w:marBottom w:val="0"/>
      <w:divBdr>
        <w:top w:val="none" w:sz="0" w:space="0" w:color="auto"/>
        <w:left w:val="none" w:sz="0" w:space="0" w:color="auto"/>
        <w:bottom w:val="none" w:sz="0" w:space="0" w:color="auto"/>
        <w:right w:val="none" w:sz="0" w:space="0" w:color="auto"/>
      </w:divBdr>
      <w:divsChild>
        <w:div w:id="1320578800">
          <w:marLeft w:val="0"/>
          <w:marRight w:val="0"/>
          <w:marTop w:val="0"/>
          <w:marBottom w:val="0"/>
          <w:divBdr>
            <w:top w:val="none" w:sz="0" w:space="0" w:color="auto"/>
            <w:left w:val="none" w:sz="0" w:space="0" w:color="auto"/>
            <w:bottom w:val="none" w:sz="0" w:space="0" w:color="auto"/>
            <w:right w:val="none" w:sz="0" w:space="0" w:color="auto"/>
          </w:divBdr>
        </w:div>
      </w:divsChild>
    </w:div>
    <w:div w:id="345324162">
      <w:bodyDiv w:val="1"/>
      <w:marLeft w:val="0"/>
      <w:marRight w:val="0"/>
      <w:marTop w:val="0"/>
      <w:marBottom w:val="0"/>
      <w:divBdr>
        <w:top w:val="none" w:sz="0" w:space="0" w:color="auto"/>
        <w:left w:val="none" w:sz="0" w:space="0" w:color="auto"/>
        <w:bottom w:val="none" w:sz="0" w:space="0" w:color="auto"/>
        <w:right w:val="none" w:sz="0" w:space="0" w:color="auto"/>
      </w:divBdr>
      <w:divsChild>
        <w:div w:id="1735540414">
          <w:marLeft w:val="0"/>
          <w:marRight w:val="0"/>
          <w:marTop w:val="0"/>
          <w:marBottom w:val="0"/>
          <w:divBdr>
            <w:top w:val="none" w:sz="0" w:space="0" w:color="auto"/>
            <w:left w:val="none" w:sz="0" w:space="0" w:color="auto"/>
            <w:bottom w:val="none" w:sz="0" w:space="0" w:color="auto"/>
            <w:right w:val="none" w:sz="0" w:space="0" w:color="auto"/>
          </w:divBdr>
        </w:div>
      </w:divsChild>
    </w:div>
    <w:div w:id="355617283">
      <w:bodyDiv w:val="1"/>
      <w:marLeft w:val="0"/>
      <w:marRight w:val="0"/>
      <w:marTop w:val="0"/>
      <w:marBottom w:val="0"/>
      <w:divBdr>
        <w:top w:val="none" w:sz="0" w:space="0" w:color="auto"/>
        <w:left w:val="none" w:sz="0" w:space="0" w:color="auto"/>
        <w:bottom w:val="none" w:sz="0" w:space="0" w:color="auto"/>
        <w:right w:val="none" w:sz="0" w:space="0" w:color="auto"/>
      </w:divBdr>
      <w:divsChild>
        <w:div w:id="522327145">
          <w:marLeft w:val="0"/>
          <w:marRight w:val="0"/>
          <w:marTop w:val="0"/>
          <w:marBottom w:val="0"/>
          <w:divBdr>
            <w:top w:val="none" w:sz="0" w:space="0" w:color="auto"/>
            <w:left w:val="none" w:sz="0" w:space="0" w:color="auto"/>
            <w:bottom w:val="none" w:sz="0" w:space="0" w:color="auto"/>
            <w:right w:val="none" w:sz="0" w:space="0" w:color="auto"/>
          </w:divBdr>
        </w:div>
      </w:divsChild>
    </w:div>
    <w:div w:id="379789984">
      <w:bodyDiv w:val="1"/>
      <w:marLeft w:val="0"/>
      <w:marRight w:val="0"/>
      <w:marTop w:val="0"/>
      <w:marBottom w:val="0"/>
      <w:divBdr>
        <w:top w:val="none" w:sz="0" w:space="0" w:color="auto"/>
        <w:left w:val="none" w:sz="0" w:space="0" w:color="auto"/>
        <w:bottom w:val="none" w:sz="0" w:space="0" w:color="auto"/>
        <w:right w:val="none" w:sz="0" w:space="0" w:color="auto"/>
      </w:divBdr>
      <w:divsChild>
        <w:div w:id="1554854432">
          <w:marLeft w:val="0"/>
          <w:marRight w:val="0"/>
          <w:marTop w:val="0"/>
          <w:marBottom w:val="0"/>
          <w:divBdr>
            <w:top w:val="none" w:sz="0" w:space="0" w:color="auto"/>
            <w:left w:val="none" w:sz="0" w:space="0" w:color="auto"/>
            <w:bottom w:val="none" w:sz="0" w:space="0" w:color="auto"/>
            <w:right w:val="none" w:sz="0" w:space="0" w:color="auto"/>
          </w:divBdr>
        </w:div>
      </w:divsChild>
    </w:div>
    <w:div w:id="428356426">
      <w:bodyDiv w:val="1"/>
      <w:marLeft w:val="0"/>
      <w:marRight w:val="0"/>
      <w:marTop w:val="0"/>
      <w:marBottom w:val="0"/>
      <w:divBdr>
        <w:top w:val="none" w:sz="0" w:space="0" w:color="auto"/>
        <w:left w:val="none" w:sz="0" w:space="0" w:color="auto"/>
        <w:bottom w:val="none" w:sz="0" w:space="0" w:color="auto"/>
        <w:right w:val="none" w:sz="0" w:space="0" w:color="auto"/>
      </w:divBdr>
      <w:divsChild>
        <w:div w:id="488910735">
          <w:marLeft w:val="0"/>
          <w:marRight w:val="0"/>
          <w:marTop w:val="0"/>
          <w:marBottom w:val="0"/>
          <w:divBdr>
            <w:top w:val="none" w:sz="0" w:space="0" w:color="auto"/>
            <w:left w:val="none" w:sz="0" w:space="0" w:color="auto"/>
            <w:bottom w:val="none" w:sz="0" w:space="0" w:color="auto"/>
            <w:right w:val="none" w:sz="0" w:space="0" w:color="auto"/>
          </w:divBdr>
        </w:div>
      </w:divsChild>
    </w:div>
    <w:div w:id="480998747">
      <w:bodyDiv w:val="1"/>
      <w:marLeft w:val="0"/>
      <w:marRight w:val="0"/>
      <w:marTop w:val="0"/>
      <w:marBottom w:val="0"/>
      <w:divBdr>
        <w:top w:val="none" w:sz="0" w:space="0" w:color="auto"/>
        <w:left w:val="none" w:sz="0" w:space="0" w:color="auto"/>
        <w:bottom w:val="none" w:sz="0" w:space="0" w:color="auto"/>
        <w:right w:val="none" w:sz="0" w:space="0" w:color="auto"/>
      </w:divBdr>
      <w:divsChild>
        <w:div w:id="1067456891">
          <w:marLeft w:val="0"/>
          <w:marRight w:val="0"/>
          <w:marTop w:val="0"/>
          <w:marBottom w:val="0"/>
          <w:divBdr>
            <w:top w:val="none" w:sz="0" w:space="0" w:color="auto"/>
            <w:left w:val="none" w:sz="0" w:space="0" w:color="auto"/>
            <w:bottom w:val="none" w:sz="0" w:space="0" w:color="auto"/>
            <w:right w:val="none" w:sz="0" w:space="0" w:color="auto"/>
          </w:divBdr>
        </w:div>
      </w:divsChild>
    </w:div>
    <w:div w:id="631786150">
      <w:bodyDiv w:val="1"/>
      <w:marLeft w:val="0"/>
      <w:marRight w:val="0"/>
      <w:marTop w:val="0"/>
      <w:marBottom w:val="0"/>
      <w:divBdr>
        <w:top w:val="none" w:sz="0" w:space="0" w:color="auto"/>
        <w:left w:val="none" w:sz="0" w:space="0" w:color="auto"/>
        <w:bottom w:val="none" w:sz="0" w:space="0" w:color="auto"/>
        <w:right w:val="none" w:sz="0" w:space="0" w:color="auto"/>
      </w:divBdr>
      <w:divsChild>
        <w:div w:id="1487553792">
          <w:marLeft w:val="0"/>
          <w:marRight w:val="0"/>
          <w:marTop w:val="0"/>
          <w:marBottom w:val="0"/>
          <w:divBdr>
            <w:top w:val="none" w:sz="0" w:space="0" w:color="auto"/>
            <w:left w:val="none" w:sz="0" w:space="0" w:color="auto"/>
            <w:bottom w:val="none" w:sz="0" w:space="0" w:color="auto"/>
            <w:right w:val="none" w:sz="0" w:space="0" w:color="auto"/>
          </w:divBdr>
        </w:div>
      </w:divsChild>
    </w:div>
    <w:div w:id="648558301">
      <w:bodyDiv w:val="1"/>
      <w:marLeft w:val="0"/>
      <w:marRight w:val="0"/>
      <w:marTop w:val="0"/>
      <w:marBottom w:val="0"/>
      <w:divBdr>
        <w:top w:val="none" w:sz="0" w:space="0" w:color="auto"/>
        <w:left w:val="none" w:sz="0" w:space="0" w:color="auto"/>
        <w:bottom w:val="none" w:sz="0" w:space="0" w:color="auto"/>
        <w:right w:val="none" w:sz="0" w:space="0" w:color="auto"/>
      </w:divBdr>
      <w:divsChild>
        <w:div w:id="1524976663">
          <w:marLeft w:val="0"/>
          <w:marRight w:val="0"/>
          <w:marTop w:val="0"/>
          <w:marBottom w:val="0"/>
          <w:divBdr>
            <w:top w:val="none" w:sz="0" w:space="0" w:color="auto"/>
            <w:left w:val="none" w:sz="0" w:space="0" w:color="auto"/>
            <w:bottom w:val="none" w:sz="0" w:space="0" w:color="auto"/>
            <w:right w:val="none" w:sz="0" w:space="0" w:color="auto"/>
          </w:divBdr>
        </w:div>
      </w:divsChild>
    </w:div>
    <w:div w:id="800853290">
      <w:bodyDiv w:val="1"/>
      <w:marLeft w:val="0"/>
      <w:marRight w:val="0"/>
      <w:marTop w:val="0"/>
      <w:marBottom w:val="0"/>
      <w:divBdr>
        <w:top w:val="none" w:sz="0" w:space="0" w:color="auto"/>
        <w:left w:val="none" w:sz="0" w:space="0" w:color="auto"/>
        <w:bottom w:val="none" w:sz="0" w:space="0" w:color="auto"/>
        <w:right w:val="none" w:sz="0" w:space="0" w:color="auto"/>
      </w:divBdr>
      <w:divsChild>
        <w:div w:id="1959295413">
          <w:marLeft w:val="0"/>
          <w:marRight w:val="0"/>
          <w:marTop w:val="0"/>
          <w:marBottom w:val="0"/>
          <w:divBdr>
            <w:top w:val="none" w:sz="0" w:space="0" w:color="auto"/>
            <w:left w:val="none" w:sz="0" w:space="0" w:color="auto"/>
            <w:bottom w:val="none" w:sz="0" w:space="0" w:color="auto"/>
            <w:right w:val="none" w:sz="0" w:space="0" w:color="auto"/>
          </w:divBdr>
        </w:div>
      </w:divsChild>
    </w:div>
    <w:div w:id="801191103">
      <w:bodyDiv w:val="1"/>
      <w:marLeft w:val="0"/>
      <w:marRight w:val="0"/>
      <w:marTop w:val="0"/>
      <w:marBottom w:val="0"/>
      <w:divBdr>
        <w:top w:val="none" w:sz="0" w:space="0" w:color="auto"/>
        <w:left w:val="none" w:sz="0" w:space="0" w:color="auto"/>
        <w:bottom w:val="none" w:sz="0" w:space="0" w:color="auto"/>
        <w:right w:val="none" w:sz="0" w:space="0" w:color="auto"/>
      </w:divBdr>
      <w:divsChild>
        <w:div w:id="1804150017">
          <w:marLeft w:val="0"/>
          <w:marRight w:val="0"/>
          <w:marTop w:val="0"/>
          <w:marBottom w:val="0"/>
          <w:divBdr>
            <w:top w:val="none" w:sz="0" w:space="0" w:color="auto"/>
            <w:left w:val="none" w:sz="0" w:space="0" w:color="auto"/>
            <w:bottom w:val="none" w:sz="0" w:space="0" w:color="auto"/>
            <w:right w:val="none" w:sz="0" w:space="0" w:color="auto"/>
          </w:divBdr>
        </w:div>
      </w:divsChild>
    </w:div>
    <w:div w:id="1082139545">
      <w:bodyDiv w:val="1"/>
      <w:marLeft w:val="0"/>
      <w:marRight w:val="0"/>
      <w:marTop w:val="0"/>
      <w:marBottom w:val="0"/>
      <w:divBdr>
        <w:top w:val="none" w:sz="0" w:space="0" w:color="auto"/>
        <w:left w:val="none" w:sz="0" w:space="0" w:color="auto"/>
        <w:bottom w:val="none" w:sz="0" w:space="0" w:color="auto"/>
        <w:right w:val="none" w:sz="0" w:space="0" w:color="auto"/>
      </w:divBdr>
      <w:divsChild>
        <w:div w:id="1987855390">
          <w:marLeft w:val="0"/>
          <w:marRight w:val="0"/>
          <w:marTop w:val="0"/>
          <w:marBottom w:val="0"/>
          <w:divBdr>
            <w:top w:val="none" w:sz="0" w:space="0" w:color="auto"/>
            <w:left w:val="none" w:sz="0" w:space="0" w:color="auto"/>
            <w:bottom w:val="none" w:sz="0" w:space="0" w:color="auto"/>
            <w:right w:val="none" w:sz="0" w:space="0" w:color="auto"/>
          </w:divBdr>
        </w:div>
      </w:divsChild>
    </w:div>
    <w:div w:id="1144396346">
      <w:bodyDiv w:val="1"/>
      <w:marLeft w:val="0"/>
      <w:marRight w:val="0"/>
      <w:marTop w:val="0"/>
      <w:marBottom w:val="0"/>
      <w:divBdr>
        <w:top w:val="none" w:sz="0" w:space="0" w:color="auto"/>
        <w:left w:val="none" w:sz="0" w:space="0" w:color="auto"/>
        <w:bottom w:val="none" w:sz="0" w:space="0" w:color="auto"/>
        <w:right w:val="none" w:sz="0" w:space="0" w:color="auto"/>
      </w:divBdr>
      <w:divsChild>
        <w:div w:id="154078521">
          <w:marLeft w:val="0"/>
          <w:marRight w:val="0"/>
          <w:marTop w:val="0"/>
          <w:marBottom w:val="0"/>
          <w:divBdr>
            <w:top w:val="none" w:sz="0" w:space="0" w:color="auto"/>
            <w:left w:val="none" w:sz="0" w:space="0" w:color="auto"/>
            <w:bottom w:val="none" w:sz="0" w:space="0" w:color="auto"/>
            <w:right w:val="none" w:sz="0" w:space="0" w:color="auto"/>
          </w:divBdr>
        </w:div>
      </w:divsChild>
    </w:div>
    <w:div w:id="1172180284">
      <w:bodyDiv w:val="1"/>
      <w:marLeft w:val="0"/>
      <w:marRight w:val="0"/>
      <w:marTop w:val="0"/>
      <w:marBottom w:val="0"/>
      <w:divBdr>
        <w:top w:val="none" w:sz="0" w:space="0" w:color="auto"/>
        <w:left w:val="none" w:sz="0" w:space="0" w:color="auto"/>
        <w:bottom w:val="none" w:sz="0" w:space="0" w:color="auto"/>
        <w:right w:val="none" w:sz="0" w:space="0" w:color="auto"/>
      </w:divBdr>
      <w:divsChild>
        <w:div w:id="1672414810">
          <w:marLeft w:val="0"/>
          <w:marRight w:val="0"/>
          <w:marTop w:val="0"/>
          <w:marBottom w:val="0"/>
          <w:divBdr>
            <w:top w:val="none" w:sz="0" w:space="0" w:color="auto"/>
            <w:left w:val="none" w:sz="0" w:space="0" w:color="auto"/>
            <w:bottom w:val="none" w:sz="0" w:space="0" w:color="auto"/>
            <w:right w:val="none" w:sz="0" w:space="0" w:color="auto"/>
          </w:divBdr>
        </w:div>
      </w:divsChild>
    </w:div>
    <w:div w:id="1215462196">
      <w:bodyDiv w:val="1"/>
      <w:marLeft w:val="0"/>
      <w:marRight w:val="0"/>
      <w:marTop w:val="0"/>
      <w:marBottom w:val="0"/>
      <w:divBdr>
        <w:top w:val="none" w:sz="0" w:space="0" w:color="auto"/>
        <w:left w:val="none" w:sz="0" w:space="0" w:color="auto"/>
        <w:bottom w:val="none" w:sz="0" w:space="0" w:color="auto"/>
        <w:right w:val="none" w:sz="0" w:space="0" w:color="auto"/>
      </w:divBdr>
      <w:divsChild>
        <w:div w:id="2059432656">
          <w:marLeft w:val="0"/>
          <w:marRight w:val="0"/>
          <w:marTop w:val="0"/>
          <w:marBottom w:val="0"/>
          <w:divBdr>
            <w:top w:val="none" w:sz="0" w:space="0" w:color="auto"/>
            <w:left w:val="none" w:sz="0" w:space="0" w:color="auto"/>
            <w:bottom w:val="none" w:sz="0" w:space="0" w:color="auto"/>
            <w:right w:val="none" w:sz="0" w:space="0" w:color="auto"/>
          </w:divBdr>
        </w:div>
      </w:divsChild>
    </w:div>
    <w:div w:id="1235512104">
      <w:bodyDiv w:val="1"/>
      <w:marLeft w:val="0"/>
      <w:marRight w:val="0"/>
      <w:marTop w:val="0"/>
      <w:marBottom w:val="0"/>
      <w:divBdr>
        <w:top w:val="none" w:sz="0" w:space="0" w:color="auto"/>
        <w:left w:val="none" w:sz="0" w:space="0" w:color="auto"/>
        <w:bottom w:val="none" w:sz="0" w:space="0" w:color="auto"/>
        <w:right w:val="none" w:sz="0" w:space="0" w:color="auto"/>
      </w:divBdr>
      <w:divsChild>
        <w:div w:id="1548882317">
          <w:marLeft w:val="0"/>
          <w:marRight w:val="0"/>
          <w:marTop w:val="0"/>
          <w:marBottom w:val="0"/>
          <w:divBdr>
            <w:top w:val="none" w:sz="0" w:space="0" w:color="auto"/>
            <w:left w:val="none" w:sz="0" w:space="0" w:color="auto"/>
            <w:bottom w:val="none" w:sz="0" w:space="0" w:color="auto"/>
            <w:right w:val="none" w:sz="0" w:space="0" w:color="auto"/>
          </w:divBdr>
        </w:div>
      </w:divsChild>
    </w:div>
    <w:div w:id="1249079427">
      <w:bodyDiv w:val="1"/>
      <w:marLeft w:val="0"/>
      <w:marRight w:val="0"/>
      <w:marTop w:val="0"/>
      <w:marBottom w:val="0"/>
      <w:divBdr>
        <w:top w:val="none" w:sz="0" w:space="0" w:color="auto"/>
        <w:left w:val="none" w:sz="0" w:space="0" w:color="auto"/>
        <w:bottom w:val="none" w:sz="0" w:space="0" w:color="auto"/>
        <w:right w:val="none" w:sz="0" w:space="0" w:color="auto"/>
      </w:divBdr>
      <w:divsChild>
        <w:div w:id="502744311">
          <w:marLeft w:val="0"/>
          <w:marRight w:val="0"/>
          <w:marTop w:val="0"/>
          <w:marBottom w:val="0"/>
          <w:divBdr>
            <w:top w:val="none" w:sz="0" w:space="0" w:color="auto"/>
            <w:left w:val="none" w:sz="0" w:space="0" w:color="auto"/>
            <w:bottom w:val="none" w:sz="0" w:space="0" w:color="auto"/>
            <w:right w:val="none" w:sz="0" w:space="0" w:color="auto"/>
          </w:divBdr>
        </w:div>
      </w:divsChild>
    </w:div>
    <w:div w:id="1264805698">
      <w:bodyDiv w:val="1"/>
      <w:marLeft w:val="0"/>
      <w:marRight w:val="0"/>
      <w:marTop w:val="0"/>
      <w:marBottom w:val="0"/>
      <w:divBdr>
        <w:top w:val="none" w:sz="0" w:space="0" w:color="auto"/>
        <w:left w:val="none" w:sz="0" w:space="0" w:color="auto"/>
        <w:bottom w:val="none" w:sz="0" w:space="0" w:color="auto"/>
        <w:right w:val="none" w:sz="0" w:space="0" w:color="auto"/>
      </w:divBdr>
      <w:divsChild>
        <w:div w:id="1424909331">
          <w:marLeft w:val="0"/>
          <w:marRight w:val="0"/>
          <w:marTop w:val="0"/>
          <w:marBottom w:val="0"/>
          <w:divBdr>
            <w:top w:val="none" w:sz="0" w:space="0" w:color="auto"/>
            <w:left w:val="none" w:sz="0" w:space="0" w:color="auto"/>
            <w:bottom w:val="none" w:sz="0" w:space="0" w:color="auto"/>
            <w:right w:val="none" w:sz="0" w:space="0" w:color="auto"/>
          </w:divBdr>
        </w:div>
      </w:divsChild>
    </w:div>
    <w:div w:id="1558930256">
      <w:bodyDiv w:val="1"/>
      <w:marLeft w:val="0"/>
      <w:marRight w:val="0"/>
      <w:marTop w:val="0"/>
      <w:marBottom w:val="0"/>
      <w:divBdr>
        <w:top w:val="none" w:sz="0" w:space="0" w:color="auto"/>
        <w:left w:val="none" w:sz="0" w:space="0" w:color="auto"/>
        <w:bottom w:val="none" w:sz="0" w:space="0" w:color="auto"/>
        <w:right w:val="none" w:sz="0" w:space="0" w:color="auto"/>
      </w:divBdr>
      <w:divsChild>
        <w:div w:id="1142962402">
          <w:marLeft w:val="0"/>
          <w:marRight w:val="0"/>
          <w:marTop w:val="0"/>
          <w:marBottom w:val="0"/>
          <w:divBdr>
            <w:top w:val="none" w:sz="0" w:space="0" w:color="auto"/>
            <w:left w:val="none" w:sz="0" w:space="0" w:color="auto"/>
            <w:bottom w:val="none" w:sz="0" w:space="0" w:color="auto"/>
            <w:right w:val="none" w:sz="0" w:space="0" w:color="auto"/>
          </w:divBdr>
        </w:div>
      </w:divsChild>
    </w:div>
    <w:div w:id="1828130202">
      <w:bodyDiv w:val="1"/>
      <w:marLeft w:val="0"/>
      <w:marRight w:val="0"/>
      <w:marTop w:val="0"/>
      <w:marBottom w:val="0"/>
      <w:divBdr>
        <w:top w:val="none" w:sz="0" w:space="0" w:color="auto"/>
        <w:left w:val="none" w:sz="0" w:space="0" w:color="auto"/>
        <w:bottom w:val="none" w:sz="0" w:space="0" w:color="auto"/>
        <w:right w:val="none" w:sz="0" w:space="0" w:color="auto"/>
      </w:divBdr>
      <w:divsChild>
        <w:div w:id="771631937">
          <w:marLeft w:val="0"/>
          <w:marRight w:val="0"/>
          <w:marTop w:val="0"/>
          <w:marBottom w:val="0"/>
          <w:divBdr>
            <w:top w:val="none" w:sz="0" w:space="0" w:color="auto"/>
            <w:left w:val="none" w:sz="0" w:space="0" w:color="auto"/>
            <w:bottom w:val="none" w:sz="0" w:space="0" w:color="auto"/>
            <w:right w:val="none" w:sz="0" w:space="0" w:color="auto"/>
          </w:divBdr>
        </w:div>
      </w:divsChild>
    </w:div>
    <w:div w:id="1897273098">
      <w:bodyDiv w:val="1"/>
      <w:marLeft w:val="0"/>
      <w:marRight w:val="0"/>
      <w:marTop w:val="0"/>
      <w:marBottom w:val="0"/>
      <w:divBdr>
        <w:top w:val="none" w:sz="0" w:space="0" w:color="auto"/>
        <w:left w:val="none" w:sz="0" w:space="0" w:color="auto"/>
        <w:bottom w:val="none" w:sz="0" w:space="0" w:color="auto"/>
        <w:right w:val="none" w:sz="0" w:space="0" w:color="auto"/>
      </w:divBdr>
      <w:divsChild>
        <w:div w:id="290330812">
          <w:marLeft w:val="0"/>
          <w:marRight w:val="0"/>
          <w:marTop w:val="0"/>
          <w:marBottom w:val="0"/>
          <w:divBdr>
            <w:top w:val="none" w:sz="0" w:space="0" w:color="auto"/>
            <w:left w:val="none" w:sz="0" w:space="0" w:color="auto"/>
            <w:bottom w:val="none" w:sz="0" w:space="0" w:color="auto"/>
            <w:right w:val="none" w:sz="0" w:space="0" w:color="auto"/>
          </w:divBdr>
        </w:div>
      </w:divsChild>
    </w:div>
    <w:div w:id="1999377496">
      <w:bodyDiv w:val="1"/>
      <w:marLeft w:val="0"/>
      <w:marRight w:val="0"/>
      <w:marTop w:val="0"/>
      <w:marBottom w:val="0"/>
      <w:divBdr>
        <w:top w:val="none" w:sz="0" w:space="0" w:color="auto"/>
        <w:left w:val="none" w:sz="0" w:space="0" w:color="auto"/>
        <w:bottom w:val="none" w:sz="0" w:space="0" w:color="auto"/>
        <w:right w:val="none" w:sz="0" w:space="0" w:color="auto"/>
      </w:divBdr>
      <w:divsChild>
        <w:div w:id="2014532050">
          <w:marLeft w:val="0"/>
          <w:marRight w:val="0"/>
          <w:marTop w:val="0"/>
          <w:marBottom w:val="0"/>
          <w:divBdr>
            <w:top w:val="none" w:sz="0" w:space="0" w:color="auto"/>
            <w:left w:val="none" w:sz="0" w:space="0" w:color="auto"/>
            <w:bottom w:val="none" w:sz="0" w:space="0" w:color="auto"/>
            <w:right w:val="none" w:sz="0" w:space="0" w:color="auto"/>
          </w:divBdr>
        </w:div>
      </w:divsChild>
    </w:div>
    <w:div w:id="2039313461">
      <w:bodyDiv w:val="1"/>
      <w:marLeft w:val="0"/>
      <w:marRight w:val="0"/>
      <w:marTop w:val="0"/>
      <w:marBottom w:val="0"/>
      <w:divBdr>
        <w:top w:val="none" w:sz="0" w:space="0" w:color="auto"/>
        <w:left w:val="none" w:sz="0" w:space="0" w:color="auto"/>
        <w:bottom w:val="none" w:sz="0" w:space="0" w:color="auto"/>
        <w:right w:val="none" w:sz="0" w:space="0" w:color="auto"/>
      </w:divBdr>
      <w:divsChild>
        <w:div w:id="92334242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data.stats.gov.cn" TargetMode="External"/><Relationship Id="rId13" Type="http://schemas.openxmlformats.org/officeDocument/2006/relationships/hyperlink" Target="https://www.wipo.int/wipo-green/en/" TargetMode="External"/><Relationship Id="rId18" Type="http://schemas.openxmlformats.org/officeDocument/2006/relationships/image" Target="media/image5.tif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incopat.com" TargetMode="External"/><Relationship Id="rId17" Type="http://schemas.openxmlformats.org/officeDocument/2006/relationships/image" Target="media/image4.tiff"/><Relationship Id="rId2" Type="http://schemas.openxmlformats.org/officeDocument/2006/relationships/numbering" Target="numbering.xml"/><Relationship Id="rId16" Type="http://schemas.openxmlformats.org/officeDocument/2006/relationships/image" Target="media/image3.tiff"/><Relationship Id="rId20" Type="http://schemas.openxmlformats.org/officeDocument/2006/relationships/image" Target="media/image7.t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wipo.int/patentscope/en/" TargetMode="External"/><Relationship Id="rId5" Type="http://schemas.openxmlformats.org/officeDocument/2006/relationships/webSettings" Target="webSettings.xml"/><Relationship Id="rId15" Type="http://schemas.openxmlformats.org/officeDocument/2006/relationships/image" Target="media/image2.tiff"/><Relationship Id="rId10" Type="http://schemas.openxmlformats.org/officeDocument/2006/relationships/hyperlink" Target="https://english.cnipa.gov.cn" TargetMode="External"/><Relationship Id="rId19" Type="http://schemas.openxmlformats.org/officeDocument/2006/relationships/image" Target="media/image6.tif"/><Relationship Id="rId4" Type="http://schemas.openxmlformats.org/officeDocument/2006/relationships/settings" Target="settings.xml"/><Relationship Id="rId9" Type="http://schemas.openxmlformats.org/officeDocument/2006/relationships/hyperlink" Target="https://www.ceads.net" TargetMode="External"/><Relationship Id="rId14" Type="http://schemas.openxmlformats.org/officeDocument/2006/relationships/image" Target="media/image1.tif"/><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www.iea.org/countries/china/emissions" TargetMode="External"/><Relationship Id="rId2" Type="http://schemas.openxmlformats.org/officeDocument/2006/relationships/hyperlink" Target="https://www.iea.org/data-and-statistics/data-tools/greenhouse-gas-emissions-from-energy-data-explorer" TargetMode="External"/><Relationship Id="rId1" Type="http://schemas.openxmlformats.org/officeDocument/2006/relationships/hyperlink" Target="https://www.iea.org/reports/electricity-202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93E3B6-3897-4C60-B392-1E7460157F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1475</TotalTime>
  <Pages>68</Pages>
  <Words>51900</Words>
  <Characters>293755</Characters>
  <Application>Microsoft Office Word</Application>
  <DocSecurity>0</DocSecurity>
  <Lines>26705</Lines>
  <Paragraphs>23043</Paragraphs>
  <ScaleCrop>false</ScaleCrop>
  <HeadingPairs>
    <vt:vector size="2" baseType="variant">
      <vt:variant>
        <vt:lpstr>Title</vt:lpstr>
      </vt:variant>
      <vt:variant>
        <vt:i4>1</vt:i4>
      </vt:variant>
    </vt:vector>
  </HeadingPairs>
  <TitlesOfParts>
    <vt:vector size="1" baseType="lpstr">
      <vt:lpstr>Australian and New Zealand Journal of Psychiatry</vt:lpstr>
    </vt:vector>
  </TitlesOfParts>
  <Company>Thomson</Company>
  <LinksUpToDate>false</LinksUpToDate>
  <CharactersWithSpaces>322612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Australian and New Zealand Journal of Psychiatry</dc:title>
  <dc:subject/>
  <dc:creator>Angela McLean</dc:creator>
  <cp:keywords/>
  <dc:description>Australian and New Zealand Journal of Psychiatry
This wizard will create a document for submission to Australian and New Zealand Journal of Psychiatry, based on the rules for authors available at http://www.blackwellpublishing.com/journal.asp?ref=0004-8674
This wizard is copyright 2002, Thomson ResearchSoft. All rights reserved.</dc:description>
  <cp:lastModifiedBy>Shafiq Tumusiime</cp:lastModifiedBy>
  <cp:revision>17</cp:revision>
  <dcterms:created xsi:type="dcterms:W3CDTF">2025-06-27T11:10:00Z</dcterms:created>
  <dcterms:modified xsi:type="dcterms:W3CDTF">2025-07-02T15:32:00Z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id="AC7ZwNlN"/&gt;&lt;style id="http://www.zotero.org/styles/apa" locale="en-US" hasBibliography="1" bibliographyStyleHasBeenSet="1"/&gt;&lt;prefs&gt;&lt;pref name="fieldType" value="Field"/&gt;&lt;/prefs&gt;&lt;/data&gt;</vt:lpwstr>
  </property>
</Properties>
</file>